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9A5B">
      <w:pPr>
        <w:spacing w:line="360" w:lineRule="auto"/>
        <w:jc w:val="center"/>
        <w:rPr>
          <w:b/>
          <w:bCs/>
          <w:sz w:val="32"/>
          <w:szCs w:val="32"/>
        </w:rPr>
      </w:pPr>
      <w:r>
        <w:rPr>
          <w:rFonts w:hint="eastAsia"/>
          <w:b/>
          <w:bCs/>
          <w:sz w:val="32"/>
          <w:szCs w:val="32"/>
        </w:rPr>
        <w:t>证券期货业务质量控制流程说明</w:t>
      </w:r>
    </w:p>
    <w:p w14:paraId="2A89E6B0">
      <w:pPr>
        <w:spacing w:line="360" w:lineRule="auto"/>
        <w:rPr>
          <w:sz w:val="30"/>
          <w:szCs w:val="30"/>
        </w:rPr>
      </w:pPr>
    </w:p>
    <w:p w14:paraId="2ED478D2">
      <w:pPr>
        <w:spacing w:line="360" w:lineRule="auto"/>
        <w:ind w:firstLine="482" w:firstLineChars="200"/>
        <w:rPr>
          <w:b/>
          <w:bCs/>
          <w:sz w:val="24"/>
        </w:rPr>
      </w:pPr>
      <w:r>
        <w:rPr>
          <w:rFonts w:hint="eastAsia"/>
          <w:b/>
          <w:bCs/>
          <w:sz w:val="24"/>
        </w:rPr>
        <w:t>一、质量控制责任</w:t>
      </w:r>
    </w:p>
    <w:p w14:paraId="78FB2CBE">
      <w:pPr>
        <w:spacing w:line="360" w:lineRule="auto"/>
        <w:ind w:firstLine="480" w:firstLineChars="200"/>
        <w:rPr>
          <w:sz w:val="24"/>
        </w:rPr>
      </w:pPr>
      <w:r>
        <w:rPr>
          <w:rFonts w:hint="eastAsia" w:ascii="Calibri" w:hAnsi="Calibri" w:cs="Times New Roman"/>
          <w:sz w:val="24"/>
        </w:rPr>
        <w:t>事务所在全所范围内设计、实施和运行统一的质量管理体系，建立执行一体化管理机制，以实现人事、财务、业务、技术标准和信息管理五方面的统一管理。</w:t>
      </w:r>
    </w:p>
    <w:p w14:paraId="1AD07F71">
      <w:pPr>
        <w:spacing w:line="360" w:lineRule="auto"/>
        <w:ind w:firstLine="482" w:firstLineChars="200"/>
        <w:rPr>
          <w:b/>
          <w:bCs/>
          <w:sz w:val="24"/>
        </w:rPr>
      </w:pPr>
      <w:r>
        <w:rPr>
          <w:rFonts w:hint="eastAsia"/>
          <w:b/>
          <w:bCs/>
          <w:sz w:val="24"/>
        </w:rPr>
        <w:t>（一）治理结构</w:t>
      </w:r>
    </w:p>
    <w:p w14:paraId="74A979A9">
      <w:pPr>
        <w:spacing w:line="360" w:lineRule="auto"/>
        <w:ind w:firstLine="480" w:firstLineChars="200"/>
        <w:rPr>
          <w:sz w:val="24"/>
        </w:rPr>
      </w:pPr>
      <w:r>
        <w:rPr>
          <w:rFonts w:hint="eastAsia"/>
          <w:sz w:val="24"/>
        </w:rPr>
        <w:t>事务所设立合伙事务管理委员会和合伙事务监督委员会等内部治理机构，其中，合伙人会议为最高权力机构，合伙事务管理委员会是合伙人会议闭会期间最高管理执行机构。首席合伙人全面负责事务所的日常经营管理活动。</w:t>
      </w:r>
    </w:p>
    <w:p w14:paraId="449CEABB">
      <w:pPr>
        <w:spacing w:line="360" w:lineRule="auto"/>
        <w:ind w:firstLine="480" w:firstLineChars="200"/>
        <w:rPr>
          <w:sz w:val="24"/>
        </w:rPr>
      </w:pPr>
      <w:r>
        <w:rPr>
          <w:rFonts w:hint="eastAsia"/>
          <w:sz w:val="24"/>
        </w:rPr>
        <w:t>合伙事务管理委员会有七名委员，姚庚春为首席合伙人。合伙事务监督委员会有五名委员。</w:t>
      </w:r>
    </w:p>
    <w:p w14:paraId="11281495">
      <w:pPr>
        <w:spacing w:line="360" w:lineRule="auto"/>
        <w:ind w:firstLine="480" w:firstLineChars="200"/>
        <w:rPr>
          <w:sz w:val="24"/>
        </w:rPr>
      </w:pPr>
      <w:r>
        <w:rPr>
          <w:rFonts w:hint="eastAsia"/>
          <w:sz w:val="24"/>
        </w:rPr>
        <w:t>合伙事务管理委员会下设五个专业委员会，分别是风险管理与质量控制委员会、业务研发与拓展委员会、政策研究与专业技术委员会、分所管理委员会、人力资源与财务委员会。</w:t>
      </w:r>
    </w:p>
    <w:p w14:paraId="18E0E789">
      <w:pPr>
        <w:spacing w:line="360" w:lineRule="auto"/>
        <w:ind w:firstLine="482" w:firstLineChars="200"/>
        <w:rPr>
          <w:b/>
          <w:bCs/>
          <w:sz w:val="24"/>
        </w:rPr>
      </w:pPr>
      <w:r>
        <w:rPr>
          <w:rFonts w:hint="eastAsia"/>
          <w:b/>
          <w:bCs/>
          <w:sz w:val="24"/>
        </w:rPr>
        <w:t>（二）事务所质量管理体系的领导层</w:t>
      </w:r>
    </w:p>
    <w:p w14:paraId="1784F1F7">
      <w:pPr>
        <w:spacing w:line="360" w:lineRule="auto"/>
        <w:ind w:firstLine="480" w:firstLineChars="200"/>
        <w:rPr>
          <w:sz w:val="24"/>
        </w:rPr>
      </w:pPr>
      <w:r>
        <w:rPr>
          <w:rFonts w:hint="eastAsia"/>
          <w:sz w:val="24"/>
        </w:rPr>
        <w:t>1</w:t>
      </w:r>
      <w:r>
        <w:rPr>
          <w:rFonts w:hint="eastAsia"/>
          <w:sz w:val="24"/>
          <w:lang w:eastAsia="zh-CN"/>
        </w:rPr>
        <w:t>.</w:t>
      </w:r>
      <w:r>
        <w:rPr>
          <w:rFonts w:hint="eastAsia"/>
          <w:sz w:val="24"/>
        </w:rPr>
        <w:t>首席合伙人对质量管理体系承担最终责任；</w:t>
      </w:r>
    </w:p>
    <w:p w14:paraId="35D5EEFC">
      <w:pPr>
        <w:spacing w:line="360" w:lineRule="auto"/>
        <w:ind w:firstLine="480" w:firstLineChars="200"/>
        <w:rPr>
          <w:sz w:val="24"/>
        </w:rPr>
      </w:pPr>
      <w:r>
        <w:rPr>
          <w:rFonts w:hint="eastAsia"/>
          <w:sz w:val="24"/>
        </w:rPr>
        <w:t>2</w:t>
      </w:r>
      <w:r>
        <w:rPr>
          <w:rFonts w:hint="eastAsia"/>
          <w:sz w:val="24"/>
          <w:lang w:eastAsia="zh-CN"/>
        </w:rPr>
        <w:t>.</w:t>
      </w:r>
      <w:r>
        <w:rPr>
          <w:rFonts w:hint="eastAsia"/>
          <w:sz w:val="24"/>
        </w:rPr>
        <w:t>质量管理主管合伙人具体负责质量管理体系的设计、实施和运行；</w:t>
      </w:r>
    </w:p>
    <w:p w14:paraId="018C6F62">
      <w:pPr>
        <w:spacing w:line="360" w:lineRule="auto"/>
        <w:ind w:firstLine="480" w:firstLineChars="200"/>
        <w:rPr>
          <w:sz w:val="24"/>
        </w:rPr>
      </w:pPr>
      <w:r>
        <w:rPr>
          <w:rFonts w:hint="eastAsia"/>
          <w:sz w:val="24"/>
        </w:rPr>
        <w:t>3</w:t>
      </w:r>
      <w:r>
        <w:rPr>
          <w:rFonts w:hint="eastAsia"/>
          <w:sz w:val="24"/>
          <w:lang w:eastAsia="zh-CN"/>
        </w:rPr>
        <w:t>.</w:t>
      </w:r>
      <w:r>
        <w:rPr>
          <w:rFonts w:hint="eastAsia"/>
          <w:sz w:val="24"/>
        </w:rPr>
        <w:t>职业道德主管合伙人具体负责事务所与职业道德（包括审计、审阅和其他鉴证业务的独立性）有关的事务；</w:t>
      </w:r>
    </w:p>
    <w:p w14:paraId="721E61E6">
      <w:pPr>
        <w:spacing w:line="360" w:lineRule="auto"/>
        <w:ind w:firstLine="480" w:firstLineChars="200"/>
        <w:rPr>
          <w:sz w:val="24"/>
        </w:rPr>
      </w:pPr>
      <w:r>
        <w:rPr>
          <w:rFonts w:hint="eastAsia"/>
          <w:sz w:val="24"/>
        </w:rPr>
        <w:t>4</w:t>
      </w:r>
      <w:r>
        <w:rPr>
          <w:rFonts w:hint="eastAsia"/>
          <w:sz w:val="24"/>
          <w:lang w:eastAsia="zh-CN"/>
        </w:rPr>
        <w:t>.</w:t>
      </w:r>
      <w:r>
        <w:rPr>
          <w:rFonts w:hint="eastAsia"/>
          <w:sz w:val="24"/>
        </w:rPr>
        <w:t>业务条线主管合伙人负责主管业务的总体质量；</w:t>
      </w:r>
    </w:p>
    <w:p w14:paraId="441A7F13">
      <w:pPr>
        <w:spacing w:line="360" w:lineRule="auto"/>
        <w:ind w:firstLine="480" w:firstLineChars="200"/>
        <w:rPr>
          <w:sz w:val="24"/>
        </w:rPr>
      </w:pPr>
      <w:r>
        <w:rPr>
          <w:rFonts w:hint="eastAsia"/>
          <w:sz w:val="24"/>
        </w:rPr>
        <w:t>5</w:t>
      </w:r>
      <w:r>
        <w:rPr>
          <w:rFonts w:hint="eastAsia"/>
          <w:sz w:val="24"/>
          <w:lang w:eastAsia="zh-CN"/>
        </w:rPr>
        <w:t>.</w:t>
      </w:r>
      <w:r>
        <w:rPr>
          <w:rFonts w:hint="eastAsia"/>
          <w:sz w:val="24"/>
        </w:rPr>
        <w:t>监控和整改主管合伙人对质量管理体系中的“监控和整改”要素的运行承担责任。</w:t>
      </w:r>
    </w:p>
    <w:p w14:paraId="33277CCD">
      <w:pPr>
        <w:spacing w:line="360" w:lineRule="auto"/>
        <w:ind w:firstLine="482" w:firstLineChars="200"/>
        <w:rPr>
          <w:b/>
          <w:bCs/>
          <w:sz w:val="24"/>
        </w:rPr>
      </w:pPr>
      <w:r>
        <w:rPr>
          <w:rFonts w:hint="eastAsia"/>
          <w:b/>
          <w:bCs/>
          <w:sz w:val="24"/>
        </w:rPr>
        <w:t>（三）组织架构</w:t>
      </w:r>
    </w:p>
    <w:p w14:paraId="7CF7EF0D">
      <w:pPr>
        <w:spacing w:line="360" w:lineRule="auto"/>
        <w:ind w:firstLine="480" w:firstLineChars="200"/>
        <w:rPr>
          <w:sz w:val="24"/>
        </w:rPr>
      </w:pPr>
      <w:r>
        <w:rPr>
          <w:rFonts w:hint="eastAsia"/>
          <w:sz w:val="24"/>
        </w:rPr>
        <w:t>事务所设立了办公室、党办、技术标准部、质量监管部、人力资源部、财务部、信息中心、培训部、档案室、函证中心等1</w:t>
      </w:r>
      <w:r>
        <w:rPr>
          <w:rFonts w:hint="eastAsia"/>
          <w:sz w:val="24"/>
          <w:lang w:val="en-US" w:eastAsia="zh-CN"/>
        </w:rPr>
        <w:t>1</w:t>
      </w:r>
      <w:r>
        <w:rPr>
          <w:rFonts w:hint="eastAsia"/>
          <w:sz w:val="24"/>
        </w:rPr>
        <w:t>个综合部室，按照部门职责，具体办理质量管理方面的事务。</w:t>
      </w:r>
    </w:p>
    <w:p w14:paraId="390264FC">
      <w:pPr>
        <w:spacing w:line="360" w:lineRule="auto"/>
        <w:ind w:firstLine="480" w:firstLineChars="200"/>
        <w:jc w:val="left"/>
        <w:rPr>
          <w:sz w:val="24"/>
        </w:rPr>
      </w:pPr>
      <w:r>
        <w:rPr>
          <w:rFonts w:hint="eastAsia"/>
          <w:sz w:val="24"/>
        </w:rPr>
        <w:t>为提升管理效率和审计质量，所内建立了审计作业管理平台系统，通过该系统实施质量控制和审计作业。</w:t>
      </w:r>
    </w:p>
    <w:p w14:paraId="30534063">
      <w:pPr>
        <w:spacing w:line="360" w:lineRule="auto"/>
        <w:ind w:firstLine="482" w:firstLineChars="200"/>
        <w:rPr>
          <w:b/>
          <w:bCs/>
          <w:sz w:val="24"/>
        </w:rPr>
      </w:pPr>
      <w:r>
        <w:rPr>
          <w:rFonts w:hint="eastAsia"/>
          <w:b/>
          <w:bCs/>
          <w:sz w:val="24"/>
        </w:rPr>
        <w:t>二、职业道德</w:t>
      </w:r>
    </w:p>
    <w:p w14:paraId="0B8C23B5">
      <w:pPr>
        <w:spacing w:line="360" w:lineRule="auto"/>
        <w:ind w:firstLine="482" w:firstLineChars="200"/>
        <w:rPr>
          <w:b/>
          <w:bCs/>
          <w:sz w:val="24"/>
        </w:rPr>
      </w:pPr>
      <w:r>
        <w:rPr>
          <w:rFonts w:hint="eastAsia"/>
          <w:b/>
          <w:bCs/>
          <w:sz w:val="24"/>
        </w:rPr>
        <w:t>（一）独立性管理的政策与程序</w:t>
      </w:r>
    </w:p>
    <w:p w14:paraId="6E3DBB10">
      <w:pPr>
        <w:spacing w:line="360" w:lineRule="auto"/>
        <w:ind w:firstLine="480"/>
        <w:rPr>
          <w:sz w:val="24"/>
        </w:rPr>
      </w:pPr>
      <w:r>
        <w:rPr>
          <w:rFonts w:hint="eastAsia"/>
          <w:sz w:val="24"/>
        </w:rPr>
        <w:t>本所《职业道德守则》中对独立性政策和程序作出规范，并制定了相关具体规定。</w:t>
      </w:r>
    </w:p>
    <w:p w14:paraId="1FE1F537">
      <w:pPr>
        <w:spacing w:line="360" w:lineRule="auto"/>
        <w:ind w:firstLine="470" w:firstLineChars="196"/>
        <w:rPr>
          <w:sz w:val="24"/>
        </w:rPr>
      </w:pPr>
      <w:r>
        <w:rPr>
          <w:rFonts w:hint="eastAsia"/>
          <w:sz w:val="24"/>
        </w:rPr>
        <w:t>（1）受限实体清单方面，按照《关于禁止员工利用内幕交易买卖股票及其持有客户股票进行登记备案的有关规定》，向本所员工提供上市公司客户清单，</w:t>
      </w:r>
      <w:r>
        <w:rPr>
          <w:rFonts w:hint="eastAsia" w:ascii="宋体" w:hAnsi="宋体"/>
          <w:b/>
          <w:sz w:val="24"/>
        </w:rPr>
        <w:t xml:space="preserve"> </w:t>
      </w:r>
      <w:r>
        <w:rPr>
          <w:rFonts w:hint="eastAsia" w:ascii="宋体" w:hAnsi="宋体" w:cs="宋体"/>
          <w:color w:val="000000"/>
          <w:kern w:val="0"/>
          <w:sz w:val="24"/>
        </w:rPr>
        <w:t>要求全所员工及其近亲属建立身份信息登记备案，要求</w:t>
      </w:r>
      <w:r>
        <w:rPr>
          <w:rFonts w:hint="eastAsia" w:ascii="宋体" w:hAnsi="宋体"/>
          <w:sz w:val="24"/>
        </w:rPr>
        <w:t>员工及其近亲属不得购买本所客户股票，原已持有的客户股票不得违规抛售；不得违法违规买卖股票及其他进行内幕信息交易行为。</w:t>
      </w:r>
    </w:p>
    <w:p w14:paraId="70637521">
      <w:pPr>
        <w:spacing w:line="360" w:lineRule="auto"/>
        <w:ind w:firstLine="480"/>
        <w:rPr>
          <w:sz w:val="24"/>
        </w:rPr>
      </w:pPr>
      <w:r>
        <w:rPr>
          <w:rFonts w:hint="eastAsia"/>
          <w:sz w:val="24"/>
        </w:rPr>
        <w:t>（2）关键审计合伙人定期轮回方面，职业道德守则第4号以及《业务委派程序》中规定了关键审计合伙人的定期轮换和冷却期制度，并进行实质性轮换。</w:t>
      </w:r>
    </w:p>
    <w:p w14:paraId="59E46E1A">
      <w:pPr>
        <w:spacing w:line="360" w:lineRule="auto"/>
        <w:ind w:firstLine="480"/>
        <w:rPr>
          <w:sz w:val="24"/>
        </w:rPr>
      </w:pPr>
      <w:r>
        <w:rPr>
          <w:rFonts w:hint="eastAsia"/>
          <w:sz w:val="24"/>
        </w:rPr>
        <w:t>（3）非审计业务独立性的评估和批准方面，所内职业道德守则第4号、第5号对审阅、其他鉴证业务的独立性作出规定，除此之外的专业服务的独立性遵守职业道德守则第3号中的相关规定。</w:t>
      </w:r>
    </w:p>
    <w:p w14:paraId="3F06DD4F">
      <w:pPr>
        <w:spacing w:line="360" w:lineRule="auto"/>
        <w:ind w:firstLine="482" w:firstLineChars="200"/>
        <w:rPr>
          <w:b/>
          <w:bCs/>
          <w:sz w:val="24"/>
        </w:rPr>
      </w:pPr>
      <w:r>
        <w:rPr>
          <w:rFonts w:hint="eastAsia"/>
          <w:b/>
          <w:bCs/>
          <w:sz w:val="24"/>
        </w:rPr>
        <w:t>（二）设置相应部门负责独立性与职业道德事项的管理</w:t>
      </w:r>
    </w:p>
    <w:p w14:paraId="1FA66F34">
      <w:pPr>
        <w:spacing w:line="360" w:lineRule="auto"/>
        <w:ind w:firstLine="480"/>
        <w:rPr>
          <w:sz w:val="24"/>
        </w:rPr>
      </w:pPr>
      <w:r>
        <w:rPr>
          <w:rFonts w:hint="eastAsia"/>
          <w:sz w:val="24"/>
        </w:rPr>
        <w:t>所内的《职业道德守则》《职业道德规范准则》对独立性和职业道德事项作出了规范。所内设置了职业道德主管合伙人，人力资源部设置了专门的关于独立性和职业道德管理岗位，负责处理具体事务，质量监管部、信息部协助。每年年初所内发布《关于签署承诺书及禁止员工及近亲属买卖我所承接的上市公司股票的通知》，所内员工按要求签署《年度独立性承诺函》《关于遵守职业道德规范的承诺书》《不从事违法违规买卖股票行为的承诺书》。</w:t>
      </w:r>
    </w:p>
    <w:p w14:paraId="2EE0F593">
      <w:pPr>
        <w:spacing w:line="360" w:lineRule="auto"/>
        <w:ind w:firstLine="482" w:firstLineChars="200"/>
        <w:rPr>
          <w:b/>
          <w:bCs/>
          <w:sz w:val="24"/>
        </w:rPr>
      </w:pPr>
      <w:r>
        <w:rPr>
          <w:rFonts w:hint="eastAsia"/>
          <w:b/>
          <w:bCs/>
          <w:sz w:val="24"/>
        </w:rPr>
        <w:t>（三）针对独立性和职业道德持续开展培训</w:t>
      </w:r>
    </w:p>
    <w:p w14:paraId="5178B648">
      <w:pPr>
        <w:spacing w:line="360" w:lineRule="auto"/>
        <w:ind w:firstLine="480" w:firstLineChars="200"/>
        <w:rPr>
          <w:rFonts w:hint="eastAsia"/>
          <w:sz w:val="24"/>
        </w:rPr>
      </w:pPr>
      <w:r>
        <w:rPr>
          <w:rFonts w:hint="eastAsia"/>
          <w:sz w:val="24"/>
        </w:rPr>
        <w:t>每年针对独立性和职业道德事项持续开展培训，促使执业人员提升专业胜任能力，恪守独立、公正、客观原则。</w:t>
      </w:r>
      <w:r>
        <w:rPr>
          <w:rFonts w:hint="eastAsia"/>
          <w:sz w:val="24"/>
          <w:lang w:val="en-US" w:eastAsia="zh-CN"/>
        </w:rPr>
        <w:t>比如，</w:t>
      </w:r>
      <w:r>
        <w:rPr>
          <w:rFonts w:hint="eastAsia" w:ascii="宋体" w:hAnsi="宋体" w:eastAsia="宋体" w:cs="宋体"/>
          <w:sz w:val="24"/>
          <w:szCs w:val="24"/>
          <w:lang w:val="en-US" w:eastAsia="zh-CN"/>
        </w:rPr>
        <w:t>我所于2024年10月21日至2024年10月25日举办网络直播培训班，紧扣行业各层级法律风险责任和职业道德守则，通过职业道德失败案例解析，以问题为导向，解读注册会计师和执业人员的独立性、职业操守与风险防范意识及行为规范的重要性。</w:t>
      </w:r>
    </w:p>
    <w:p w14:paraId="4F3E0F5A">
      <w:pPr>
        <w:spacing w:line="360" w:lineRule="auto"/>
        <w:ind w:firstLine="482" w:firstLineChars="200"/>
        <w:rPr>
          <w:b/>
          <w:bCs/>
          <w:sz w:val="24"/>
        </w:rPr>
      </w:pPr>
      <w:r>
        <w:rPr>
          <w:rFonts w:hint="eastAsia"/>
          <w:b/>
          <w:bCs/>
          <w:sz w:val="24"/>
        </w:rPr>
        <w:t>三、人力资源</w:t>
      </w:r>
    </w:p>
    <w:p w14:paraId="6EDFC658">
      <w:pPr>
        <w:spacing w:line="360" w:lineRule="auto"/>
        <w:ind w:firstLine="482" w:firstLineChars="200"/>
        <w:rPr>
          <w:b/>
          <w:bCs/>
          <w:sz w:val="24"/>
        </w:rPr>
      </w:pPr>
      <w:r>
        <w:rPr>
          <w:rFonts w:hint="eastAsia"/>
          <w:b/>
          <w:bCs/>
          <w:sz w:val="24"/>
        </w:rPr>
        <w:t>（一）建立和保持与业务发展相适应的执业人员队伍</w:t>
      </w:r>
    </w:p>
    <w:p w14:paraId="513E776A">
      <w:pPr>
        <w:spacing w:line="360" w:lineRule="auto"/>
        <w:ind w:firstLine="480" w:firstLineChars="200"/>
        <w:rPr>
          <w:sz w:val="24"/>
        </w:rPr>
      </w:pPr>
      <w:r>
        <w:rPr>
          <w:rFonts w:hint="eastAsia"/>
          <w:sz w:val="24"/>
        </w:rPr>
        <w:t>1</w:t>
      </w:r>
      <w:r>
        <w:rPr>
          <w:rFonts w:hint="eastAsia"/>
          <w:sz w:val="24"/>
          <w:lang w:eastAsia="zh-CN"/>
        </w:rPr>
        <w:t>.</w:t>
      </w:r>
      <w:r>
        <w:rPr>
          <w:rFonts w:hint="eastAsia"/>
          <w:sz w:val="24"/>
        </w:rPr>
        <w:t>《人力资源管理制度》对人员招聘、薪酬设置、职业发展、继续教育、绩效考核、员工晋升等人力资源管理各个方面作出规范，培养和保持满足业务开展需要的、具有专业胜任能力、遵守职业道德要求的人员。</w:t>
      </w:r>
    </w:p>
    <w:p w14:paraId="053C9E8D">
      <w:pPr>
        <w:spacing w:line="360" w:lineRule="auto"/>
        <w:ind w:firstLine="480" w:firstLineChars="200"/>
        <w:rPr>
          <w:sz w:val="24"/>
        </w:rPr>
      </w:pPr>
      <w:r>
        <w:rPr>
          <w:rFonts w:hint="eastAsia"/>
          <w:sz w:val="24"/>
        </w:rPr>
        <w:t>2</w:t>
      </w:r>
      <w:r>
        <w:rPr>
          <w:rFonts w:hint="eastAsia"/>
          <w:sz w:val="24"/>
          <w:lang w:eastAsia="zh-CN"/>
        </w:rPr>
        <w:t>.</w:t>
      </w:r>
      <w:r>
        <w:rPr>
          <w:rFonts w:hint="eastAsia"/>
          <w:sz w:val="24"/>
        </w:rPr>
        <w:t>通过各种途径提高人员素质和专业胜任能力：</w:t>
      </w:r>
    </w:p>
    <w:p w14:paraId="6B4CCE59">
      <w:pPr>
        <w:spacing w:line="360" w:lineRule="auto"/>
        <w:ind w:firstLine="480" w:firstLineChars="200"/>
        <w:rPr>
          <w:sz w:val="24"/>
        </w:rPr>
      </w:pPr>
      <w:r>
        <w:rPr>
          <w:rFonts w:hint="eastAsia"/>
          <w:sz w:val="24"/>
        </w:rPr>
        <w:t>（1）参加监管部门、交易所、中国注册会计师协会和地方协会的职业后续教育；</w:t>
      </w:r>
    </w:p>
    <w:p w14:paraId="31D51AC1">
      <w:pPr>
        <w:spacing w:line="360" w:lineRule="auto"/>
        <w:ind w:firstLine="480" w:firstLineChars="200"/>
        <w:rPr>
          <w:sz w:val="24"/>
        </w:rPr>
      </w:pPr>
      <w:r>
        <w:rPr>
          <w:rFonts w:hint="eastAsia"/>
          <w:sz w:val="24"/>
        </w:rPr>
        <w:t>（2）职业发展，包括对各级别人员进行持续培训；</w:t>
      </w:r>
    </w:p>
    <w:p w14:paraId="3B2B4C22">
      <w:pPr>
        <w:spacing w:line="360" w:lineRule="auto"/>
        <w:ind w:firstLine="480" w:firstLineChars="200"/>
        <w:rPr>
          <w:sz w:val="24"/>
        </w:rPr>
      </w:pPr>
      <w:r>
        <w:rPr>
          <w:rFonts w:hint="eastAsia"/>
          <w:sz w:val="24"/>
        </w:rPr>
        <w:t>（3）现场培训；</w:t>
      </w:r>
    </w:p>
    <w:p w14:paraId="459048B4">
      <w:pPr>
        <w:spacing w:line="360" w:lineRule="auto"/>
        <w:ind w:firstLine="480" w:firstLineChars="200"/>
        <w:rPr>
          <w:sz w:val="24"/>
        </w:rPr>
      </w:pPr>
      <w:r>
        <w:rPr>
          <w:rFonts w:hint="eastAsia"/>
          <w:sz w:val="24"/>
        </w:rPr>
        <w:t>（4）由经验更丰富的员工提供辅导。</w:t>
      </w:r>
    </w:p>
    <w:p w14:paraId="11C37D54">
      <w:pPr>
        <w:spacing w:line="360" w:lineRule="auto"/>
        <w:ind w:firstLine="482" w:firstLineChars="200"/>
        <w:rPr>
          <w:b/>
          <w:bCs/>
          <w:sz w:val="24"/>
        </w:rPr>
      </w:pPr>
      <w:r>
        <w:rPr>
          <w:rFonts w:hint="eastAsia"/>
          <w:b/>
          <w:bCs/>
          <w:sz w:val="24"/>
        </w:rPr>
        <w:t>（二）人员的委派</w:t>
      </w:r>
    </w:p>
    <w:p w14:paraId="27E227DC">
      <w:pPr>
        <w:spacing w:line="360" w:lineRule="auto"/>
        <w:ind w:firstLine="480" w:firstLineChars="200"/>
        <w:rPr>
          <w:sz w:val="24"/>
        </w:rPr>
      </w:pPr>
      <w:r>
        <w:rPr>
          <w:rFonts w:hint="eastAsia"/>
          <w:sz w:val="24"/>
        </w:rPr>
        <w:t>人员委派按照《业务委派程序》执行，考虑被委派人员的独立性、专业胜任能力、工作负荷等因素。</w:t>
      </w:r>
    </w:p>
    <w:p w14:paraId="5145510B">
      <w:pPr>
        <w:spacing w:line="360" w:lineRule="auto"/>
        <w:ind w:firstLine="480" w:firstLineChars="200"/>
        <w:rPr>
          <w:sz w:val="24"/>
        </w:rPr>
      </w:pPr>
      <w:r>
        <w:rPr>
          <w:rFonts w:hint="eastAsia"/>
          <w:sz w:val="24"/>
        </w:rPr>
        <w:t>1</w:t>
      </w:r>
      <w:r>
        <w:rPr>
          <w:rFonts w:hint="eastAsia"/>
          <w:sz w:val="24"/>
          <w:lang w:eastAsia="zh-CN"/>
        </w:rPr>
        <w:t>.</w:t>
      </w:r>
      <w:r>
        <w:rPr>
          <w:rFonts w:hint="eastAsia"/>
          <w:sz w:val="24"/>
        </w:rPr>
        <w:t>项目合伙人的委派</w:t>
      </w:r>
    </w:p>
    <w:p w14:paraId="4B9F4C12">
      <w:pPr>
        <w:spacing w:line="360" w:lineRule="auto"/>
        <w:ind w:firstLine="480" w:firstLineChars="200"/>
        <w:rPr>
          <w:sz w:val="24"/>
        </w:rPr>
      </w:pPr>
      <w:r>
        <w:rPr>
          <w:rFonts w:hint="eastAsia"/>
          <w:sz w:val="24"/>
        </w:rPr>
        <w:t>业务承接与保持确定后， C类业务由主管合伙人委派项目合伙人；B类业务由管理合伙人委派项目合伙人；A类非上市业务由管理合伙人委派项目合伙人；A类上市业务由风险管理与质量控制委员会委派项目合伙人。</w:t>
      </w:r>
    </w:p>
    <w:p w14:paraId="074483B9">
      <w:pPr>
        <w:spacing w:line="360" w:lineRule="auto"/>
        <w:ind w:firstLine="480" w:firstLineChars="200"/>
        <w:rPr>
          <w:sz w:val="24"/>
        </w:rPr>
      </w:pPr>
      <w:r>
        <w:rPr>
          <w:rFonts w:hint="eastAsia"/>
          <w:sz w:val="24"/>
        </w:rPr>
        <w:t>2</w:t>
      </w:r>
      <w:r>
        <w:rPr>
          <w:rFonts w:hint="eastAsia"/>
          <w:sz w:val="24"/>
          <w:lang w:eastAsia="zh-CN"/>
        </w:rPr>
        <w:t>.</w:t>
      </w:r>
      <w:r>
        <w:rPr>
          <w:rFonts w:hint="eastAsia"/>
          <w:sz w:val="24"/>
        </w:rPr>
        <w:t>项目经理及项目组成员的委派</w:t>
      </w:r>
    </w:p>
    <w:p w14:paraId="4DB1BBC2">
      <w:pPr>
        <w:spacing w:line="360" w:lineRule="auto"/>
        <w:ind w:firstLine="480" w:firstLineChars="200"/>
        <w:rPr>
          <w:sz w:val="24"/>
        </w:rPr>
      </w:pPr>
      <w:r>
        <w:rPr>
          <w:rFonts w:hint="eastAsia"/>
          <w:sz w:val="24"/>
        </w:rPr>
        <w:t>在项目合伙人确定后，项目组成员的委派由项目合伙人按照项目计划提出人员需求及名单，由项目所属的审计部门授权经理在部门内部安排，部门内部不能解决的，提交人力资源部统一协调。</w:t>
      </w:r>
    </w:p>
    <w:p w14:paraId="4DE57624">
      <w:pPr>
        <w:spacing w:line="360" w:lineRule="auto"/>
        <w:ind w:firstLine="480" w:firstLineChars="200"/>
        <w:rPr>
          <w:sz w:val="24"/>
        </w:rPr>
      </w:pPr>
      <w:r>
        <w:rPr>
          <w:rFonts w:hint="eastAsia"/>
          <w:sz w:val="24"/>
        </w:rPr>
        <w:t>3</w:t>
      </w:r>
      <w:r>
        <w:rPr>
          <w:rFonts w:hint="eastAsia"/>
          <w:sz w:val="24"/>
          <w:lang w:eastAsia="zh-CN"/>
        </w:rPr>
        <w:t>.</w:t>
      </w:r>
      <w:r>
        <w:rPr>
          <w:rFonts w:hint="eastAsia"/>
          <w:sz w:val="24"/>
        </w:rPr>
        <w:t>项目质量复核人员的委派</w:t>
      </w:r>
    </w:p>
    <w:p w14:paraId="78F3B8CA">
      <w:pPr>
        <w:spacing w:line="360" w:lineRule="auto"/>
        <w:ind w:firstLine="480" w:firstLineChars="200"/>
        <w:rPr>
          <w:sz w:val="24"/>
        </w:rPr>
      </w:pPr>
      <w:r>
        <w:rPr>
          <w:rFonts w:hint="eastAsia"/>
          <w:sz w:val="24"/>
        </w:rPr>
        <w:t>（1）A类非上市业务的项目质量复核人员由质量监管部合伙人委派；</w:t>
      </w:r>
    </w:p>
    <w:p w14:paraId="597041E1">
      <w:pPr>
        <w:spacing w:line="360" w:lineRule="auto"/>
        <w:ind w:firstLine="480" w:firstLineChars="200"/>
        <w:rPr>
          <w:sz w:val="24"/>
        </w:rPr>
      </w:pPr>
      <w:r>
        <w:rPr>
          <w:rFonts w:hint="eastAsia"/>
          <w:sz w:val="24"/>
        </w:rPr>
        <w:t>（2）A类上市业务由风险管理与质量控制委员会委派项目质量复核人。</w:t>
      </w:r>
    </w:p>
    <w:p w14:paraId="16BAC615">
      <w:pPr>
        <w:spacing w:line="360" w:lineRule="auto"/>
        <w:ind w:firstLine="482" w:firstLineChars="200"/>
        <w:rPr>
          <w:b/>
          <w:bCs/>
          <w:sz w:val="24"/>
        </w:rPr>
      </w:pPr>
      <w:r>
        <w:rPr>
          <w:rFonts w:hint="eastAsia"/>
          <w:b/>
          <w:bCs/>
          <w:sz w:val="24"/>
        </w:rPr>
        <w:t>四、审计业务承接</w:t>
      </w:r>
    </w:p>
    <w:p w14:paraId="7E1A4B17">
      <w:pPr>
        <w:spacing w:line="360" w:lineRule="auto"/>
        <w:ind w:firstLine="480"/>
        <w:rPr>
          <w:sz w:val="24"/>
          <w:lang w:val="en-GB"/>
        </w:rPr>
      </w:pPr>
      <w:r>
        <w:rPr>
          <w:rFonts w:hint="eastAsia"/>
          <w:sz w:val="24"/>
        </w:rPr>
        <w:t>事务所制定了《业务操作流程》《客户关系和业务承接与保持控制程序》《重大会计、审计事项决定程序》等制度，对新客户和新业务的承接的政策和流程作出了规范。</w:t>
      </w:r>
      <w:r>
        <w:rPr>
          <w:rFonts w:hint="eastAsia"/>
          <w:sz w:val="24"/>
          <w:lang w:val="en-GB"/>
        </w:rPr>
        <w:t>针对客户关系和具体业务的接受与保持，在全所范围内统一决策，充分考虑相关职业道德要求、管理层和治理层（如适用）的诚信状况、业务风险以及是否具备执行业务必要的时间和资源，审慎作出承接与保持的决策。</w:t>
      </w:r>
    </w:p>
    <w:p w14:paraId="78AAE425">
      <w:pPr>
        <w:spacing w:line="360" w:lineRule="auto"/>
        <w:ind w:firstLine="482" w:firstLineChars="200"/>
        <w:rPr>
          <w:b/>
          <w:bCs/>
          <w:sz w:val="24"/>
        </w:rPr>
      </w:pPr>
      <w:r>
        <w:rPr>
          <w:rFonts w:hint="eastAsia"/>
          <w:b/>
          <w:bCs/>
          <w:sz w:val="24"/>
        </w:rPr>
        <w:t>（一）业务风险类别的划分</w:t>
      </w:r>
    </w:p>
    <w:p w14:paraId="00AEDE25">
      <w:pPr>
        <w:spacing w:line="360" w:lineRule="auto"/>
        <w:ind w:firstLine="480" w:firstLineChars="200"/>
        <w:rPr>
          <w:sz w:val="24"/>
        </w:rPr>
      </w:pPr>
      <w:r>
        <w:rPr>
          <w:rFonts w:hint="eastAsia"/>
          <w:sz w:val="24"/>
        </w:rPr>
        <w:t>根据项目性质、客户规模、业务风险的高低，以及是否涉及公众利益等，将项目划分为A类上市、A类非上市、B类、C类等类别，对各类项目分别实施不同的承接控制程序。</w:t>
      </w:r>
    </w:p>
    <w:p w14:paraId="37E73930">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1.A类上市业务</w:t>
      </w:r>
    </w:p>
    <w:p w14:paraId="416FDE59">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包括以下客户涉及的财务报表审计、审阅、内部控制审计（鉴证）、验资，以及上市公司及其重大子公司的重大特定资产审计：</w:t>
      </w:r>
    </w:p>
    <w:p w14:paraId="4BE14714">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（1）在上海、深圳、北京证券交易所上市的公司及其重大子公司；</w:t>
      </w:r>
    </w:p>
    <w:p w14:paraId="28531C46">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（2）在上海、深圳、北京证券交易所上市的公司发生重大资产并购重组（认定标准依据证监会《上市公司重大资产重组管理办法》）；</w:t>
      </w:r>
    </w:p>
    <w:p w14:paraId="5161C53D">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（3）IPO申报。</w:t>
      </w:r>
    </w:p>
    <w:p w14:paraId="054807C9">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2. A类非上市业务</w:t>
      </w:r>
    </w:p>
    <w:p w14:paraId="0B2921C2">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包括以下客户涉及的财务报表审计、审阅、内部控制审计（鉴证）、验资，以及新三板公司及其重大子公司的重大特定资产审计：</w:t>
      </w:r>
    </w:p>
    <w:p w14:paraId="4D9DFCF7">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（1）上市公司相关业务</w:t>
      </w:r>
    </w:p>
    <w:p w14:paraId="19C20A5C">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①上市公司（包括IPO申报）的重大联营、合营企业；</w:t>
      </w:r>
    </w:p>
    <w:p w14:paraId="5427FBF3">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②上市公司非重大资产并购重组。</w:t>
      </w:r>
    </w:p>
    <w:p w14:paraId="7CCAB440">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（2）股转系统挂牌公司、退市公司业务</w:t>
      </w:r>
    </w:p>
    <w:p w14:paraId="1195EBE4">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①在全国中小企业股份转让系统挂牌交易的新三板挂牌前股改、挂牌申报；</w:t>
      </w:r>
    </w:p>
    <w:p w14:paraId="17F69F5B">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②已挂牌新三板及其重大子公司、重大的联营、合营企业；</w:t>
      </w:r>
    </w:p>
    <w:p w14:paraId="56FFB430">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③已挂牌新三板公司发生资产并购重组；</w:t>
      </w:r>
    </w:p>
    <w:p w14:paraId="2B3F64FE">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④两网及退市公司。</w:t>
      </w:r>
    </w:p>
    <w:p w14:paraId="6B96C1B1">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（3）债券业务</w:t>
      </w:r>
    </w:p>
    <w:p w14:paraId="6AE2DA5F">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①债券业务，包括企业债、公司债券、中期票据、短期融资券、永续债、银行间票据等的发行以及后续年报；</w:t>
      </w:r>
    </w:p>
    <w:p w14:paraId="292C0196">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②公开发行公司债券的公司的重大子公司、重大的联营、合营企业。</w:t>
      </w:r>
    </w:p>
    <w:p w14:paraId="5E6355A5">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（4）资产证券化业务</w:t>
      </w:r>
    </w:p>
    <w:p w14:paraId="47202687">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上报或在证券交易所、中国证券业协会机构间报价与转让系统、证券公司柜台市场以及中国证监会认可的其他交易场所备案的资产证券化及相关现金流预测咨询。</w:t>
      </w:r>
    </w:p>
    <w:p w14:paraId="753FBF7D">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（5）作为申报材料组成部分的IPO公司的大股东或控股股东、上市公司重大资产重组资产交易方等。</w:t>
      </w:r>
    </w:p>
    <w:p w14:paraId="0AFA6DD8">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（6）证券基金期货经营机构</w:t>
      </w:r>
    </w:p>
    <w:p w14:paraId="5BB27867">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证券基金期货经营机构包括证券公司、期货公司、证券登记结算机构、基金管理人（基金托管人）、证券、期货投资咨询机构、证券交易所、期货交易所等及其重大子公司、重大联营、合营企业。其中，对于私募投资基金管理人，是指管理规模在5亿元以上基金管理人，或者该基金管理人的控股股东、实际控制人控制两家以上私募投资基金管理人。</w:t>
      </w:r>
    </w:p>
    <w:p w14:paraId="77212F52">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（7）银行、保险、信托企业。</w:t>
      </w:r>
    </w:p>
    <w:p w14:paraId="7F2CE430">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（8）境外企业（上市公司重要子公司除外）。</w:t>
      </w:r>
    </w:p>
    <w:p w14:paraId="23EB569F">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（9）证监会认定的其他证券业务。</w:t>
      </w:r>
    </w:p>
    <w:p w14:paraId="7BCA8779">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（10）初步业务活动已识别出异常情况和高风险业务。</w:t>
      </w:r>
    </w:p>
    <w:p w14:paraId="3DE7455D">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3. B类业务</w:t>
      </w:r>
    </w:p>
    <w:p w14:paraId="32ACB5C2">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（1）A类上市、A类非上市业务的客户的专项审计。</w:t>
      </w:r>
    </w:p>
    <w:p w14:paraId="6CC724BB">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（2）以下客户涉及的财务报表审计、审阅、内部控制审计（鉴证）、验资、专项审计：</w:t>
      </w:r>
    </w:p>
    <w:p w14:paraId="52D0B6F7">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①国务院国资委监督管理的企业（集团）及二级公司、省级国资委监督管理的企业（集团）；</w:t>
      </w:r>
    </w:p>
    <w:p w14:paraId="7A1B43A4">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②上市公司、新三板挂牌公司非重大子公司（指资产、净资产、收入或净利润占合并总资产、合并净资产、合并总收入、合并净利润15%以下的子公司）、非重大的联营、合营企业（指长期股权投资占合并总资产、合并净资产15%以下或本期投资收益占合并净利润的15%以下的联营、合营企业）；</w:t>
      </w:r>
    </w:p>
    <w:p w14:paraId="2D3A92E7">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③发债公司子公司（单独发债子公司、公开发行债券重大子公司除外）；</w:t>
      </w:r>
    </w:p>
    <w:p w14:paraId="1E8D00E7">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④财务公司、小额贷款、保险代理公司、融资租赁公司；</w:t>
      </w:r>
    </w:p>
    <w:p w14:paraId="6726BFCB">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⑤在各地股权交易中心申报挂牌或已挂牌企业；</w:t>
      </w:r>
    </w:p>
    <w:p w14:paraId="3768EC22">
      <w:pPr>
        <w:spacing w:line="360" w:lineRule="auto"/>
        <w:ind w:firstLine="480" w:firstLineChars="200"/>
        <w:contextualSpacing/>
        <w:rPr>
          <w:rFonts w:hint="eastAsia" w:ascii="宋体" w:hAnsi="宋体" w:eastAsia="宋体" w:cs="宋体"/>
          <w:b w:val="0"/>
          <w:bCs w:val="0"/>
          <w:sz w:val="24"/>
        </w:rPr>
      </w:pPr>
      <w:r>
        <w:rPr>
          <w:rFonts w:hint="eastAsia" w:ascii="宋体" w:hAnsi="宋体" w:eastAsia="宋体" w:cs="宋体"/>
          <w:b w:val="0"/>
          <w:bCs w:val="0"/>
          <w:sz w:val="24"/>
        </w:rPr>
        <w:t>⑥高风险行业（包括但不限于房地产开发企业、工程机械以及钢铁、有色金属、水泥、煤化工、船舶制造、风电设备、光伏等产能过剩行业）。</w:t>
      </w:r>
    </w:p>
    <w:p w14:paraId="1A8ABCE2">
      <w:pPr>
        <w:numPr>
          <w:ilvl w:val="0"/>
          <w:numId w:val="1"/>
        </w:numPr>
        <w:spacing w:line="360" w:lineRule="auto"/>
        <w:ind w:firstLine="482" w:firstLineChars="200"/>
        <w:contextualSpacing/>
        <w:rPr>
          <w:rFonts w:hint="eastAsia" w:ascii="宋体" w:hAnsi="宋体" w:eastAsia="宋体" w:cs="宋体"/>
          <w:b w:val="0"/>
          <w:bCs w:val="0"/>
          <w:sz w:val="24"/>
        </w:rPr>
      </w:pPr>
      <w:r>
        <w:rPr>
          <w:rFonts w:hint="eastAsia" w:ascii="宋体" w:hAnsi="宋体" w:eastAsia="宋体" w:cs="宋体"/>
          <w:b/>
          <w:bCs/>
          <w:sz w:val="24"/>
        </w:rPr>
        <w:t>C类业务:</w:t>
      </w:r>
      <w:r>
        <w:rPr>
          <w:rFonts w:hint="eastAsia" w:ascii="宋体" w:hAnsi="宋体" w:eastAsia="宋体" w:cs="宋体"/>
          <w:b w:val="0"/>
          <w:bCs w:val="0"/>
          <w:sz w:val="24"/>
        </w:rPr>
        <w:t>除上述A类、B类之外的鉴证业务和相关服务业务（资产证券化现金流预测分析咨询报告等涉及证监会认定的证券业务除外）。</w:t>
      </w:r>
    </w:p>
    <w:p w14:paraId="26E9AFA7">
      <w:pPr>
        <w:numPr>
          <w:numId w:val="0"/>
        </w:numPr>
        <w:spacing w:line="360" w:lineRule="auto"/>
        <w:ind w:firstLine="482" w:firstLineChars="200"/>
        <w:contextualSpacing/>
        <w:rPr>
          <w:rFonts w:ascii="宋体" w:hAnsi="宋体" w:eastAsia="宋体" w:cs="宋体"/>
          <w:b/>
          <w:bCs/>
          <w:sz w:val="24"/>
        </w:rPr>
      </w:pPr>
      <w:r>
        <w:rPr>
          <w:rFonts w:hint="eastAsia" w:ascii="宋体" w:hAnsi="宋体" w:eastAsia="宋体" w:cs="宋体"/>
          <w:b/>
          <w:bCs/>
          <w:sz w:val="24"/>
        </w:rPr>
        <w:t>（二）业务承接与保持的审批</w:t>
      </w:r>
    </w:p>
    <w:p w14:paraId="67A4ED18">
      <w:pPr>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eastAsia="zh-CN"/>
        </w:rPr>
        <w:t>.</w:t>
      </w:r>
      <w:r>
        <w:rPr>
          <w:rFonts w:hint="eastAsia" w:ascii="宋体" w:hAnsi="宋体" w:eastAsia="宋体" w:cs="宋体"/>
          <w:bCs/>
          <w:sz w:val="24"/>
        </w:rPr>
        <w:t>按照权限分别进行审批</w:t>
      </w:r>
    </w:p>
    <w:p w14:paraId="135B609D">
      <w:pPr>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1）A类上市业务，由风险管理与质量控制委员会讨论决定承接或保持与否，确定是否承接或保持，依据风险管理与质量控制委员会议事规则，需经半数以上人员通过，如果委员之间出现意见分歧、无法形成决议时，不得承接或保持该项业务。在业务承接与保持决策过程中，同为项目合伙人、项目质量复核人和风险管理与质量控制委员会委员时需回避表决。</w:t>
      </w:r>
    </w:p>
    <w:p w14:paraId="5CEDE7E5">
      <w:pPr>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（2）A类非上市业务，由管理合伙人决定承接或保持与否；</w:t>
      </w:r>
    </w:p>
    <w:p w14:paraId="2C34EB74">
      <w:pPr>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（3）B类业务，由管理合伙人决定承接或保持与否；</w:t>
      </w:r>
    </w:p>
    <w:p w14:paraId="29FCE599">
      <w:pPr>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（4）C类业务，由主管合伙人决定承接或保持与否。</w:t>
      </w:r>
    </w:p>
    <w:p w14:paraId="42723133">
      <w:pPr>
        <w:spacing w:line="360" w:lineRule="auto"/>
        <w:ind w:firstLine="480" w:firstLineChars="200"/>
        <w:rPr>
          <w:sz w:val="24"/>
        </w:rPr>
      </w:pPr>
      <w:r>
        <w:rPr>
          <w:sz w:val="24"/>
        </w:rPr>
        <w:t>在业务保持方面，对现有客户依照所内的风险评价标准逐一进行风险排查，从风险把控、人力资源、企业诚信、媒体质疑、立案</w:t>
      </w:r>
      <w:r>
        <w:rPr>
          <w:rFonts w:hint="eastAsia"/>
          <w:sz w:val="24"/>
        </w:rPr>
        <w:t>未结</w:t>
      </w:r>
      <w:r>
        <w:rPr>
          <w:sz w:val="24"/>
        </w:rPr>
        <w:t>、持续经营等多个方面进行讨论研究，确定是否承接。</w:t>
      </w:r>
    </w:p>
    <w:p w14:paraId="6FCF258C">
      <w:pPr>
        <w:spacing w:line="360" w:lineRule="auto"/>
        <w:ind w:firstLine="480" w:firstLineChars="200"/>
        <w:rPr>
          <w:rStyle w:val="7"/>
          <w:rFonts w:ascii="宋体" w:hAnsi="宋体" w:eastAsia="宋体" w:cs="Times New Roman"/>
          <w:b w:val="0"/>
          <w:sz w:val="24"/>
        </w:rPr>
      </w:pPr>
      <w:r>
        <w:rPr>
          <w:rStyle w:val="7"/>
          <w:rFonts w:hint="eastAsia" w:ascii="宋体" w:hAnsi="宋体" w:eastAsia="宋体" w:cs="Times New Roman"/>
          <w:b w:val="0"/>
          <w:sz w:val="24"/>
        </w:rPr>
        <w:t>2</w:t>
      </w:r>
      <w:r>
        <w:rPr>
          <w:rStyle w:val="7"/>
          <w:rFonts w:hint="eastAsia" w:ascii="宋体" w:hAnsi="宋体" w:eastAsia="宋体" w:cs="Times New Roman"/>
          <w:b w:val="0"/>
          <w:sz w:val="24"/>
          <w:lang w:eastAsia="zh-CN"/>
        </w:rPr>
        <w:t>.</w:t>
      </w:r>
      <w:r>
        <w:rPr>
          <w:rStyle w:val="7"/>
          <w:rFonts w:hint="eastAsia" w:ascii="宋体" w:hAnsi="宋体" w:eastAsia="宋体" w:cs="Times New Roman"/>
          <w:b w:val="0"/>
          <w:sz w:val="24"/>
        </w:rPr>
        <w:t>对工作负荷进行监控</w:t>
      </w:r>
    </w:p>
    <w:p w14:paraId="7AFEF384">
      <w:pPr>
        <w:spacing w:line="360" w:lineRule="auto"/>
        <w:ind w:firstLine="480" w:firstLineChars="200"/>
        <w:rPr>
          <w:sz w:val="24"/>
        </w:rPr>
      </w:pPr>
      <w:r>
        <w:rPr>
          <w:rStyle w:val="7"/>
          <w:rFonts w:hint="eastAsia" w:ascii="宋体" w:hAnsi="宋体" w:eastAsia="宋体" w:cs="Times New Roman"/>
          <w:b w:val="0"/>
          <w:sz w:val="24"/>
        </w:rPr>
        <w:t>《业务委派程序》中规定，所内监控项目合伙人的工作负荷及可供调配的项目合伙人数量，以使项目合伙人有足够的时间履行职责，项目合伙人每年承做的上市公司（包括IPO）</w:t>
      </w:r>
      <w:r>
        <w:rPr>
          <w:rStyle w:val="7"/>
          <w:rFonts w:hint="eastAsia" w:ascii="宋体" w:hAnsi="宋体"/>
          <w:b w:val="0"/>
          <w:sz w:val="24"/>
        </w:rPr>
        <w:t>业务不得超过</w:t>
      </w:r>
      <w:r>
        <w:rPr>
          <w:rStyle w:val="7"/>
          <w:rFonts w:ascii="宋体" w:hAnsi="宋体"/>
          <w:b w:val="0"/>
          <w:sz w:val="24"/>
        </w:rPr>
        <w:t>5</w:t>
      </w:r>
      <w:r>
        <w:rPr>
          <w:rStyle w:val="7"/>
          <w:rFonts w:hint="eastAsia" w:ascii="宋体" w:hAnsi="宋体"/>
          <w:b w:val="0"/>
          <w:sz w:val="24"/>
        </w:rPr>
        <w:t>家</w:t>
      </w:r>
      <w:r>
        <w:rPr>
          <w:rStyle w:val="7"/>
          <w:rFonts w:hint="eastAsia" w:ascii="宋体" w:hAnsi="宋体"/>
          <w:b w:val="0"/>
          <w:sz w:val="24"/>
          <w:lang w:eastAsia="zh-CN"/>
        </w:rPr>
        <w:t>，</w:t>
      </w:r>
      <w:r>
        <w:rPr>
          <w:rStyle w:val="7"/>
          <w:rFonts w:hint="eastAsia" w:ascii="宋体" w:hAnsi="宋体"/>
          <w:b w:val="0"/>
          <w:sz w:val="24"/>
        </w:rPr>
        <w:t>发债业务</w:t>
      </w:r>
      <w:r>
        <w:rPr>
          <w:rStyle w:val="7"/>
          <w:rFonts w:hint="eastAsia" w:ascii="宋体" w:hAnsi="宋体"/>
          <w:b w:val="0"/>
          <w:sz w:val="24"/>
          <w:lang w:val="en-US" w:eastAsia="zh-CN"/>
        </w:rPr>
        <w:t>和新三板业务合计不得</w:t>
      </w:r>
      <w:r>
        <w:rPr>
          <w:rStyle w:val="7"/>
          <w:rFonts w:hint="eastAsia" w:ascii="宋体" w:hAnsi="宋体"/>
          <w:b w:val="0"/>
          <w:sz w:val="24"/>
        </w:rPr>
        <w:t>超过</w:t>
      </w:r>
      <w:r>
        <w:rPr>
          <w:rStyle w:val="7"/>
          <w:rFonts w:hint="eastAsia" w:ascii="宋体" w:hAnsi="宋体"/>
          <w:b w:val="0"/>
          <w:sz w:val="24"/>
          <w:lang w:val="en-US" w:eastAsia="zh-CN"/>
        </w:rPr>
        <w:t>40</w:t>
      </w:r>
      <w:r>
        <w:rPr>
          <w:rStyle w:val="7"/>
          <w:rFonts w:hint="eastAsia" w:ascii="宋体" w:hAnsi="宋体"/>
          <w:b w:val="0"/>
          <w:sz w:val="24"/>
        </w:rPr>
        <w:t>家。</w:t>
      </w:r>
    </w:p>
    <w:p w14:paraId="052D4774">
      <w:pPr>
        <w:spacing w:line="360"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rPr>
        <w:t>（三）强化</w:t>
      </w:r>
      <w:r>
        <w:rPr>
          <w:rFonts w:hint="eastAsia" w:ascii="宋体" w:hAnsi="宋体" w:eastAsia="宋体" w:cs="宋体"/>
          <w:b/>
          <w:sz w:val="24"/>
        </w:rPr>
        <w:t>证券业务质量管理</w:t>
      </w:r>
    </w:p>
    <w:p w14:paraId="2DFE1037">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w:t>
      </w:r>
      <w:r>
        <w:rPr>
          <w:rFonts w:hint="eastAsia" w:ascii="宋体" w:hAnsi="宋体" w:eastAsia="宋体" w:cs="宋体"/>
          <w:color w:val="000000"/>
          <w:sz w:val="24"/>
        </w:rPr>
        <w:t>风险控制前移</w:t>
      </w:r>
    </w:p>
    <w:p w14:paraId="4DAA6FD2">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执行所内“A类上市业务首次承接负面清单规定”，纳入负面清单的业务一般不予承接，包括：</w:t>
      </w:r>
    </w:p>
    <w:p w14:paraId="772991B3">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1 \* GB3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①</w:t>
      </w:r>
      <w:r>
        <w:rPr>
          <w:rFonts w:hint="eastAsia" w:ascii="宋体" w:hAnsi="宋体" w:eastAsia="宋体" w:cs="宋体"/>
          <w:color w:val="000000"/>
          <w:sz w:val="24"/>
        </w:rPr>
        <w:fldChar w:fldCharType="end"/>
      </w:r>
      <w:r>
        <w:rPr>
          <w:rFonts w:hint="eastAsia" w:ascii="宋体" w:hAnsi="宋体" w:eastAsia="宋体" w:cs="宋体"/>
          <w:color w:val="000000"/>
          <w:sz w:val="24"/>
        </w:rPr>
        <w:t>实际控制人、董事长、总经理存在诚信问题，公司股东存在严重矛盾纠纷,或媒体有大量负面报道、社会反响较大。</w:t>
      </w:r>
    </w:p>
    <w:p w14:paraId="5CA29616">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2 \* GB3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②</w:t>
      </w:r>
      <w:r>
        <w:rPr>
          <w:rFonts w:hint="eastAsia" w:ascii="宋体" w:hAnsi="宋体" w:eastAsia="宋体" w:cs="宋体"/>
          <w:color w:val="000000"/>
          <w:sz w:val="24"/>
        </w:rPr>
        <w:fldChar w:fldCharType="end"/>
      </w:r>
      <w:r>
        <w:rPr>
          <w:rFonts w:hint="eastAsia" w:ascii="宋体" w:hAnsi="宋体" w:eastAsia="宋体" w:cs="宋体"/>
          <w:color w:val="000000"/>
          <w:sz w:val="24"/>
        </w:rPr>
        <w:t>因涉嫌财务舞弊被监管部门立案调查，尚未结案，通过走访监管部门所获取的信息不足以了解舞弊的范围和金额。</w:t>
      </w:r>
    </w:p>
    <w:p w14:paraId="1C9E8840">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3 \* GB3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③</w:t>
      </w:r>
      <w:r>
        <w:rPr>
          <w:rFonts w:hint="eastAsia" w:ascii="宋体" w:hAnsi="宋体" w:eastAsia="宋体" w:cs="宋体"/>
          <w:color w:val="000000"/>
          <w:sz w:val="24"/>
        </w:rPr>
        <w:fldChar w:fldCharType="end"/>
      </w:r>
      <w:r>
        <w:rPr>
          <w:rFonts w:hint="eastAsia" w:ascii="宋体" w:hAnsi="宋体" w:eastAsia="宋体" w:cs="宋体"/>
          <w:color w:val="000000"/>
          <w:sz w:val="24"/>
        </w:rPr>
        <w:t>公司的主要业务活动在境外，组建胜任境外审计的团队存在困难；因新冠疫情无法派出审计团队，需要利用境外审计师的工作，但公司无法聘请PKF成员所开展境外审计，或无法聘请具备胜任能力的境外审计机构进行审计。</w:t>
      </w:r>
    </w:p>
    <w:p w14:paraId="5941F984">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4 \* GB3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④</w:t>
      </w:r>
      <w:r>
        <w:rPr>
          <w:rFonts w:hint="eastAsia" w:ascii="宋体" w:hAnsi="宋体" w:eastAsia="宋体" w:cs="宋体"/>
          <w:color w:val="000000"/>
          <w:sz w:val="24"/>
        </w:rPr>
        <w:fldChar w:fldCharType="end"/>
      </w:r>
      <w:r>
        <w:rPr>
          <w:rFonts w:hint="eastAsia" w:ascii="宋体" w:hAnsi="宋体" w:eastAsia="宋体" w:cs="宋体"/>
          <w:color w:val="000000"/>
          <w:sz w:val="24"/>
        </w:rPr>
        <w:t>公司出现债务违约、违规担保，金额重大，无力偿还，也没有切实可行的措施以解决债务问题。</w:t>
      </w:r>
    </w:p>
    <w:p w14:paraId="2DA059E1">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5 \* GB3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⑤</w:t>
      </w:r>
      <w:r>
        <w:rPr>
          <w:rFonts w:hint="eastAsia" w:ascii="宋体" w:hAnsi="宋体" w:eastAsia="宋体" w:cs="宋体"/>
          <w:color w:val="000000"/>
          <w:sz w:val="24"/>
        </w:rPr>
        <w:fldChar w:fldCharType="end"/>
      </w:r>
      <w:r>
        <w:rPr>
          <w:rFonts w:hint="eastAsia" w:ascii="宋体" w:hAnsi="宋体" w:eastAsia="宋体" w:cs="宋体"/>
          <w:color w:val="000000"/>
          <w:sz w:val="24"/>
        </w:rPr>
        <w:t>公司上市后短期内业绩变脸，审计师辞聘，且公司对业绩大幅下滑无法作出合理解释。</w:t>
      </w:r>
    </w:p>
    <w:p w14:paraId="6EBD8F6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6 \* GB3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⑥</w:t>
      </w:r>
      <w:r>
        <w:rPr>
          <w:rFonts w:hint="eastAsia" w:ascii="宋体" w:hAnsi="宋体" w:eastAsia="宋体" w:cs="宋体"/>
          <w:color w:val="000000"/>
          <w:sz w:val="24"/>
        </w:rPr>
        <w:fldChar w:fldCharType="end"/>
      </w:r>
      <w:r>
        <w:rPr>
          <w:rFonts w:hint="eastAsia" w:ascii="宋体" w:hAnsi="宋体" w:eastAsia="宋体" w:cs="宋体"/>
          <w:color w:val="000000"/>
          <w:sz w:val="24"/>
        </w:rPr>
        <w:t>公司处于退市警示状态（*ST），没有用以避免退市的切实可行的预案和计划。</w:t>
      </w:r>
    </w:p>
    <w:p w14:paraId="2A71537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⑦</w:t>
      </w:r>
      <w:r>
        <w:rPr>
          <w:rFonts w:hint="eastAsia" w:ascii="宋体" w:hAnsi="宋体" w:eastAsia="宋体" w:cs="宋体"/>
          <w:color w:val="000000"/>
          <w:sz w:val="24"/>
        </w:rPr>
        <w:t>年报审计变更会计师事务所的时间晚于12月31日。</w:t>
      </w:r>
    </w:p>
    <w:p w14:paraId="4971C21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⑧</w:t>
      </w:r>
      <w:r>
        <w:rPr>
          <w:rFonts w:hint="eastAsia" w:ascii="宋体" w:hAnsi="宋体" w:eastAsia="宋体" w:cs="宋体"/>
          <w:color w:val="000000"/>
          <w:sz w:val="24"/>
        </w:rPr>
        <w:t>前一年度财务报表被其他会计师事务所出具否定意见、无法表示意见，尽职调查认为导致否定意见、无法表示意见事项的重大影响难以消除。</w:t>
      </w:r>
    </w:p>
    <w:p w14:paraId="141673B1">
      <w:pPr>
        <w:spacing w:line="360" w:lineRule="auto"/>
        <w:ind w:left="479" w:leftChars="228" w:firstLine="0" w:firstLineChars="0"/>
        <w:rPr>
          <w:rFonts w:ascii="宋体" w:hAnsi="宋体" w:eastAsia="宋体" w:cs="宋体"/>
          <w:color w:val="000000"/>
          <w:sz w:val="24"/>
        </w:rPr>
      </w:pPr>
      <w:r>
        <w:rPr>
          <w:rFonts w:hint="eastAsia" w:ascii="宋体" w:hAnsi="宋体" w:eastAsia="宋体" w:cs="宋体"/>
          <w:color w:val="000000"/>
          <w:sz w:val="24"/>
          <w:lang w:val="en-US" w:eastAsia="zh-CN"/>
        </w:rPr>
        <w:t>⑨</w:t>
      </w:r>
      <w:r>
        <w:rPr>
          <w:rFonts w:hint="eastAsia" w:ascii="宋体" w:hAnsi="宋体" w:eastAsia="宋体" w:cs="宋体"/>
          <w:color w:val="000000"/>
          <w:sz w:val="24"/>
        </w:rPr>
        <w:t>公司参与的大宗贸易金额巨大，且大宗贸易的供应商和客户均为贸易商。2</w:t>
      </w:r>
      <w:r>
        <w:rPr>
          <w:rFonts w:hint="eastAsia" w:ascii="宋体" w:hAnsi="宋体" w:eastAsia="宋体" w:cs="宋体"/>
          <w:color w:val="000000"/>
          <w:sz w:val="24"/>
          <w:lang w:eastAsia="zh-CN"/>
        </w:rPr>
        <w:t>.</w:t>
      </w:r>
      <w:r>
        <w:rPr>
          <w:rFonts w:hint="eastAsia" w:ascii="宋体" w:hAnsi="宋体" w:eastAsia="宋体" w:cs="宋体"/>
          <w:color w:val="000000"/>
          <w:sz w:val="24"/>
        </w:rPr>
        <w:t>加强尽职调查工作</w:t>
      </w:r>
    </w:p>
    <w:p w14:paraId="5089BE6F">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上市公司业务承接前，派出尽调小组对拟承接的上市公司进行尽调，尽调报告提交风险管理与质量控制委员会审议讨论。尽调报告中需要就公司的诚信状况、公司存在的重大问题及审计策略、上年非无保留意见事项重大影响的消除、与前任审计师的沟通等作出深入分析。</w:t>
      </w:r>
    </w:p>
    <w:p w14:paraId="6A8D6507">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eastAsia="zh-CN"/>
        </w:rPr>
        <w:t>.</w:t>
      </w:r>
      <w:r>
        <w:rPr>
          <w:rFonts w:hint="eastAsia" w:ascii="宋体" w:hAnsi="宋体" w:eastAsia="宋体" w:cs="宋体"/>
          <w:color w:val="000000"/>
          <w:sz w:val="24"/>
        </w:rPr>
        <w:t>关注高风险项目的保持与否</w:t>
      </w:r>
    </w:p>
    <w:p w14:paraId="5F827489">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为更好、更有针对性地实施业务质量控制，把控风险，按照我所“上市公司风险评价标准及应对措施的规定”，对于上一年承做的上市公司业务进行全面风险评估，按风险点的多少将其风险程度分为高、中、低三类。针对高风险项目，具体应对措施是：委派业务能力强、经验丰富的项目合伙人、质控复核人和监管人员；梳理风险点，逐项下发“风险提示函”，明确每个项目的重点风险领域和风险事项；年报出具前，项目组提交风险应对书面报告，由风控委讨论确定报告意见类型。</w:t>
      </w:r>
    </w:p>
    <w:p w14:paraId="27690C7F">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部分评估为高风险的项目，经风控委会议研究后，项目不再保持。</w:t>
      </w:r>
    </w:p>
    <w:p w14:paraId="0AB2D7F1">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eastAsia="zh-CN"/>
        </w:rPr>
        <w:t>.</w:t>
      </w:r>
      <w:r>
        <w:rPr>
          <w:rFonts w:hint="eastAsia" w:ascii="宋体" w:hAnsi="宋体" w:eastAsia="宋体" w:cs="宋体"/>
          <w:color w:val="000000"/>
          <w:sz w:val="24"/>
        </w:rPr>
        <w:t>年审前就重要风险领域作出提示</w:t>
      </w:r>
    </w:p>
    <w:p w14:paraId="2A5D231D">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根据财政部、证监会、中注协、交易所、股转系统下发的有关年报审计通知要求，我所汇总编写了《关于做好202</w:t>
      </w:r>
      <w:r>
        <w:rPr>
          <w:rFonts w:hint="eastAsia" w:ascii="宋体" w:hAnsi="宋体" w:eastAsia="宋体" w:cs="宋体"/>
          <w:color w:val="000000"/>
          <w:sz w:val="24"/>
          <w:lang w:val="en-US" w:eastAsia="zh-CN"/>
        </w:rPr>
        <w:t>4</w:t>
      </w:r>
      <w:r>
        <w:rPr>
          <w:rFonts w:hint="eastAsia" w:ascii="宋体" w:hAnsi="宋体" w:eastAsia="宋体" w:cs="宋体"/>
          <w:color w:val="000000"/>
          <w:sz w:val="24"/>
        </w:rPr>
        <w:t>年财务报表审计工作的通知》，明确重点审计客户和重点审计领域。</w:t>
      </w:r>
    </w:p>
    <w:p w14:paraId="1AFBF7B1">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w:t>
      </w:r>
      <w:r>
        <w:rPr>
          <w:rFonts w:hint="eastAsia" w:ascii="宋体" w:hAnsi="宋体" w:eastAsia="宋体" w:cs="宋体"/>
          <w:color w:val="000000"/>
          <w:sz w:val="24"/>
        </w:rPr>
        <w:t>年审中向项目组发出提示函</w:t>
      </w:r>
    </w:p>
    <w:p w14:paraId="313B8A05">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风控委对</w:t>
      </w:r>
      <w:r>
        <w:rPr>
          <w:rFonts w:hint="eastAsia" w:ascii="宋体" w:hAnsi="宋体" w:eastAsia="宋体" w:cs="宋体"/>
          <w:color w:val="000000"/>
          <w:sz w:val="24"/>
          <w:lang w:val="en-US" w:eastAsia="zh-CN"/>
        </w:rPr>
        <w:t>多个</w:t>
      </w:r>
      <w:r>
        <w:rPr>
          <w:rFonts w:hint="eastAsia" w:ascii="宋体" w:hAnsi="宋体" w:eastAsia="宋体" w:cs="宋体"/>
          <w:color w:val="000000"/>
          <w:sz w:val="24"/>
        </w:rPr>
        <w:t>上市公司年审项目发出了提示函，要求项目组把控审计风险，对提示的事项予以重点关注，严格遵循准则，勤勉尽责，保持职业怀疑，审慎评价获取的审计证据；要求项目合伙人确保投入充足的时间深度参与审计工作，切实发挥指导、监督、复核作用。</w:t>
      </w:r>
    </w:p>
    <w:p w14:paraId="55231D1B">
      <w:pPr>
        <w:numPr>
          <w:ilvl w:val="0"/>
          <w:numId w:val="0"/>
        </w:numPr>
        <w:spacing w:line="360" w:lineRule="auto"/>
        <w:ind w:firstLine="480" w:firstLineChars="200"/>
        <w:rPr>
          <w:rFonts w:ascii="宋体" w:hAnsi="宋体" w:eastAsia="宋体" w:cs="宋体"/>
          <w:color w:val="000000"/>
          <w:sz w:val="24"/>
        </w:rPr>
      </w:pPr>
      <w:r>
        <w:rPr>
          <w:rFonts w:ascii="宋体" w:hAnsi="宋体" w:eastAsia="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sz w:val="24"/>
        </w:rPr>
        <w:t>审慎发表审计意见</w:t>
      </w:r>
      <w:bookmarkStart w:id="5" w:name="_GoBack"/>
      <w:bookmarkEnd w:id="5"/>
    </w:p>
    <w:p w14:paraId="04F74D5F">
      <w:pPr>
        <w:spacing w:line="360" w:lineRule="auto"/>
        <w:ind w:firstLine="560"/>
        <w:rPr>
          <w:rFonts w:ascii="宋体" w:hAnsi="宋体" w:eastAsia="宋体" w:cs="宋体"/>
          <w:color w:val="000000"/>
          <w:sz w:val="24"/>
        </w:rPr>
      </w:pPr>
      <w:r>
        <w:rPr>
          <w:rFonts w:hint="eastAsia" w:ascii="宋体" w:hAnsi="宋体" w:eastAsia="宋体" w:cs="宋体"/>
          <w:color w:val="000000"/>
          <w:sz w:val="24"/>
        </w:rPr>
        <w:t>风控委对A类上市业务非无保留意见进行审议、集体决策；对无保留意见，审阅项目复核情况报告。202</w:t>
      </w:r>
      <w:r>
        <w:rPr>
          <w:rFonts w:hint="eastAsia" w:ascii="宋体" w:hAnsi="宋体" w:eastAsia="宋体" w:cs="宋体"/>
          <w:color w:val="000000"/>
          <w:sz w:val="24"/>
          <w:lang w:val="en-US" w:eastAsia="zh-CN"/>
        </w:rPr>
        <w:t>4</w:t>
      </w:r>
      <w:r>
        <w:rPr>
          <w:rFonts w:hint="eastAsia" w:ascii="宋体" w:hAnsi="宋体" w:eastAsia="宋体" w:cs="宋体"/>
          <w:color w:val="000000"/>
          <w:sz w:val="24"/>
        </w:rPr>
        <w:t>年年审中根据获取的证据对上市公司发表不同类型的、适当的审计意见，以为投资者的经济决策提供参考：</w:t>
      </w:r>
    </w:p>
    <w:tbl>
      <w:tblPr>
        <w:tblStyle w:val="5"/>
        <w:tblW w:w="8835" w:type="dxa"/>
        <w:tblInd w:w="93" w:type="dxa"/>
        <w:tblLayout w:type="fixed"/>
        <w:tblCellMar>
          <w:top w:w="0" w:type="dxa"/>
          <w:left w:w="108" w:type="dxa"/>
          <w:bottom w:w="0" w:type="dxa"/>
          <w:right w:w="108" w:type="dxa"/>
        </w:tblCellMar>
      </w:tblPr>
      <w:tblGrid>
        <w:gridCol w:w="3900"/>
        <w:gridCol w:w="2526"/>
        <w:gridCol w:w="2409"/>
      </w:tblGrid>
      <w:tr w14:paraId="7B9E1DFD">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F2C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val="en-US" w:eastAsia="zh-CN" w:bidi="ar"/>
              </w:rPr>
              <w:t>财务报表</w:t>
            </w:r>
            <w:r>
              <w:rPr>
                <w:rFonts w:hint="eastAsia" w:ascii="宋体" w:hAnsi="宋体" w:eastAsia="宋体" w:cs="宋体"/>
                <w:b/>
                <w:bCs/>
                <w:color w:val="000000"/>
                <w:kern w:val="0"/>
                <w:sz w:val="24"/>
                <w:lang w:bidi="ar"/>
              </w:rPr>
              <w:t>审计报告意见类型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9FB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家数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C55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比例</w:t>
            </w:r>
          </w:p>
        </w:tc>
      </w:tr>
      <w:tr w14:paraId="7627D5D1">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35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无保留</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4DE6">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73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FA2D">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87.95%</w:t>
            </w:r>
          </w:p>
        </w:tc>
      </w:tr>
      <w:tr w14:paraId="46389A48">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42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保留</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111E">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7</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16E2">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8.43%</w:t>
            </w:r>
          </w:p>
        </w:tc>
      </w:tr>
      <w:tr w14:paraId="0871D580">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8D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无法表示意见</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1FC4">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85BE">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3.61%</w:t>
            </w:r>
          </w:p>
        </w:tc>
      </w:tr>
      <w:tr w14:paraId="271CF49B">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CA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4772">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1FB6">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100.00%</w:t>
            </w:r>
          </w:p>
        </w:tc>
      </w:tr>
    </w:tbl>
    <w:p w14:paraId="6A8541CE">
      <w:pPr>
        <w:spacing w:line="360" w:lineRule="auto"/>
        <w:ind w:firstLine="480" w:firstLineChars="200"/>
        <w:rPr>
          <w:sz w:val="24"/>
        </w:rPr>
      </w:pPr>
    </w:p>
    <w:tbl>
      <w:tblPr>
        <w:tblStyle w:val="5"/>
        <w:tblW w:w="8835" w:type="dxa"/>
        <w:tblInd w:w="93" w:type="dxa"/>
        <w:tblLayout w:type="fixed"/>
        <w:tblCellMar>
          <w:top w:w="0" w:type="dxa"/>
          <w:left w:w="108" w:type="dxa"/>
          <w:bottom w:w="0" w:type="dxa"/>
          <w:right w:w="108" w:type="dxa"/>
        </w:tblCellMar>
      </w:tblPr>
      <w:tblGrid>
        <w:gridCol w:w="3900"/>
        <w:gridCol w:w="2526"/>
        <w:gridCol w:w="2409"/>
      </w:tblGrid>
      <w:tr w14:paraId="2AAFE381">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6E5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val="en-US" w:eastAsia="zh-CN" w:bidi="ar"/>
              </w:rPr>
              <w:t>内部控制</w:t>
            </w:r>
            <w:r>
              <w:rPr>
                <w:rFonts w:hint="eastAsia" w:ascii="宋体" w:hAnsi="宋体" w:eastAsia="宋体" w:cs="宋体"/>
                <w:b/>
                <w:bCs/>
                <w:color w:val="000000"/>
                <w:kern w:val="0"/>
                <w:sz w:val="24"/>
                <w:lang w:bidi="ar"/>
              </w:rPr>
              <w:t>审计报告意见类型</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6F8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家数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985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比例</w:t>
            </w:r>
          </w:p>
        </w:tc>
      </w:tr>
      <w:tr w14:paraId="519F1444">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832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无保留</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9A95">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73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6A51">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87.95%</w:t>
            </w:r>
          </w:p>
        </w:tc>
      </w:tr>
      <w:tr w14:paraId="4740ADA2">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A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保留</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0564">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44D7">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9.64%</w:t>
            </w:r>
          </w:p>
        </w:tc>
      </w:tr>
      <w:tr w14:paraId="22001D0D">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4F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无法表示意见</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6ACB">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A04D">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2.41%</w:t>
            </w:r>
          </w:p>
        </w:tc>
      </w:tr>
      <w:tr w14:paraId="32A68430">
        <w:tblPrEx>
          <w:tblCellMar>
            <w:top w:w="0" w:type="dxa"/>
            <w:left w:w="108" w:type="dxa"/>
            <w:bottom w:w="0" w:type="dxa"/>
            <w:right w:w="108" w:type="dxa"/>
          </w:tblCellMar>
        </w:tblPrEx>
        <w:trPr>
          <w:trHeight w:val="270" w:hRule="atLeast"/>
        </w:trPr>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AA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321C">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83</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02D0">
            <w:pPr>
              <w:keepNext w:val="0"/>
              <w:keepLines w:val="0"/>
              <w:widowControl/>
              <w:suppressLineNumbers w:val="0"/>
              <w:ind w:firstLine="480" w:firstLineChars="20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100.00%</w:t>
            </w:r>
          </w:p>
        </w:tc>
      </w:tr>
    </w:tbl>
    <w:p w14:paraId="3DFA32E2">
      <w:pPr>
        <w:spacing w:line="360" w:lineRule="auto"/>
        <w:ind w:firstLine="480" w:firstLineChars="200"/>
        <w:rPr>
          <w:sz w:val="24"/>
        </w:rPr>
      </w:pPr>
    </w:p>
    <w:p w14:paraId="5FA0F545">
      <w:pPr>
        <w:spacing w:line="360" w:lineRule="auto"/>
        <w:ind w:firstLine="482" w:firstLineChars="200"/>
        <w:rPr>
          <w:b/>
          <w:bCs/>
          <w:sz w:val="24"/>
        </w:rPr>
      </w:pPr>
      <w:r>
        <w:rPr>
          <w:rFonts w:hint="eastAsia"/>
          <w:b/>
          <w:bCs/>
          <w:sz w:val="24"/>
        </w:rPr>
        <w:t>五、审计业务计划</w:t>
      </w:r>
    </w:p>
    <w:p w14:paraId="09BCF8A5">
      <w:pPr>
        <w:pStyle w:val="8"/>
        <w:numPr>
          <w:ilvl w:val="1"/>
          <w:numId w:val="0"/>
        </w:numPr>
        <w:tabs>
          <w:tab w:val="left" w:pos="1134"/>
        </w:tabs>
        <w:spacing w:line="360" w:lineRule="auto"/>
        <w:ind w:firstLine="567"/>
        <w:rPr>
          <w:rFonts w:ascii="宋体" w:hAnsi="宋体"/>
          <w:sz w:val="24"/>
        </w:rPr>
      </w:pPr>
      <w:r>
        <w:rPr>
          <w:rFonts w:hint="eastAsia" w:ascii="宋体" w:hAnsi="宋体"/>
          <w:sz w:val="24"/>
        </w:rPr>
        <w:t>审计计划由该项目合伙人指定人员编制，但对其工作结果负责，项目合伙人和项目组其他关键成员参与计划审计工作，参与项目组成员的讨论。</w:t>
      </w:r>
    </w:p>
    <w:p w14:paraId="1248601C">
      <w:pPr>
        <w:pStyle w:val="8"/>
        <w:numPr>
          <w:ilvl w:val="1"/>
          <w:numId w:val="0"/>
        </w:numPr>
        <w:tabs>
          <w:tab w:val="left" w:pos="1134"/>
        </w:tabs>
        <w:spacing w:line="360" w:lineRule="auto"/>
        <w:ind w:firstLine="567"/>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w:t>
      </w:r>
      <w:r>
        <w:rPr>
          <w:rFonts w:hint="eastAsia" w:ascii="宋体" w:hAnsi="宋体"/>
          <w:b/>
          <w:bCs/>
          <w:sz w:val="24"/>
        </w:rPr>
        <w:t>总体审计策略的内容</w:t>
      </w:r>
    </w:p>
    <w:p w14:paraId="5FFF30C0">
      <w:pPr>
        <w:pStyle w:val="8"/>
        <w:numPr>
          <w:ilvl w:val="3"/>
          <w:numId w:val="2"/>
        </w:numPr>
        <w:spacing w:line="360" w:lineRule="auto"/>
        <w:ind w:left="0" w:firstLine="567" w:firstLineChars="0"/>
        <w:rPr>
          <w:rFonts w:ascii="宋体" w:hAnsi="宋体"/>
          <w:sz w:val="24"/>
        </w:rPr>
      </w:pPr>
      <w:r>
        <w:rPr>
          <w:rFonts w:hint="eastAsia" w:ascii="宋体" w:hAnsi="宋体"/>
          <w:sz w:val="24"/>
        </w:rPr>
        <w:t>确定审计业务的特征，包括采用的会计准则和相关会计制度、特定行业的报告要求以及被审计单位组成部分的分布等，以界定审计范围；</w:t>
      </w:r>
    </w:p>
    <w:p w14:paraId="5BF62C01">
      <w:pPr>
        <w:pStyle w:val="8"/>
        <w:numPr>
          <w:ilvl w:val="3"/>
          <w:numId w:val="2"/>
        </w:numPr>
        <w:spacing w:line="360" w:lineRule="auto"/>
        <w:ind w:left="0" w:firstLine="567" w:firstLineChars="0"/>
        <w:rPr>
          <w:rFonts w:ascii="宋体" w:hAnsi="宋体"/>
          <w:sz w:val="24"/>
        </w:rPr>
      </w:pPr>
      <w:r>
        <w:rPr>
          <w:rFonts w:hint="eastAsia" w:ascii="宋体" w:hAnsi="宋体" w:cs="宋体"/>
          <w:color w:val="000000"/>
          <w:kern w:val="0"/>
          <w:sz w:val="24"/>
        </w:rPr>
        <w:t>对重要的组成部分和账户拟定的总体审计策略；</w:t>
      </w:r>
    </w:p>
    <w:p w14:paraId="28650392">
      <w:pPr>
        <w:pStyle w:val="8"/>
        <w:numPr>
          <w:ilvl w:val="3"/>
          <w:numId w:val="2"/>
        </w:numPr>
        <w:spacing w:line="360" w:lineRule="auto"/>
        <w:ind w:left="0" w:firstLine="567" w:firstLineChars="0"/>
        <w:rPr>
          <w:rFonts w:ascii="宋体" w:hAnsi="宋体"/>
          <w:sz w:val="24"/>
        </w:rPr>
      </w:pPr>
      <w:r>
        <w:rPr>
          <w:rFonts w:hint="eastAsia" w:ascii="宋体" w:hAnsi="宋体"/>
          <w:sz w:val="24"/>
        </w:rPr>
        <w:t>审计小组成员及人员分工要求，</w:t>
      </w:r>
      <w:r>
        <w:rPr>
          <w:rFonts w:hint="eastAsia" w:ascii="宋体" w:hAnsi="宋体" w:cs="宋体"/>
          <w:color w:val="000000"/>
          <w:kern w:val="0"/>
          <w:sz w:val="24"/>
        </w:rPr>
        <w:t>向具体审计领域分配资源的数量和时间；</w:t>
      </w:r>
    </w:p>
    <w:p w14:paraId="2EFCED31">
      <w:pPr>
        <w:pStyle w:val="8"/>
        <w:numPr>
          <w:ilvl w:val="3"/>
          <w:numId w:val="2"/>
        </w:numPr>
        <w:spacing w:line="360" w:lineRule="auto"/>
        <w:ind w:left="0" w:firstLine="567" w:firstLineChars="0"/>
        <w:rPr>
          <w:rFonts w:ascii="宋体"/>
          <w:color w:val="000000"/>
          <w:kern w:val="0"/>
          <w:sz w:val="24"/>
        </w:rPr>
      </w:pPr>
      <w:r>
        <w:rPr>
          <w:rFonts w:hint="eastAsia" w:ascii="宋体" w:hAnsi="宋体" w:cs="宋体"/>
          <w:color w:val="000000"/>
          <w:kern w:val="0"/>
          <w:sz w:val="24"/>
        </w:rPr>
        <w:t>首次接受审计委托时，考虑：就与前任注册会计师沟通作出安排，包括查阅前任注册会计师的工作底稿等；与管理层讨论的有关首次接受审计委托的重大问题，就这些重大问题与治理层沟通的情况，以及这些重大问题是如何影响总体审计策略和具体审计计划的；针对期初余额获取充分、适当的审计证据而计划实施的审计程序；针对预见到的特别风险，分派具有相应素质和专业胜任能力的人员；根据本所关于首次接受审计委托的质量控制制度实施的其他程序；</w:t>
      </w:r>
    </w:p>
    <w:p w14:paraId="6CBD8EEF">
      <w:pPr>
        <w:pStyle w:val="8"/>
        <w:numPr>
          <w:ilvl w:val="3"/>
          <w:numId w:val="2"/>
        </w:numPr>
        <w:spacing w:line="360" w:lineRule="auto"/>
        <w:ind w:left="0" w:firstLine="567" w:firstLineChars="0"/>
        <w:rPr>
          <w:rFonts w:ascii="宋体" w:hAnsi="宋体"/>
          <w:sz w:val="24"/>
        </w:rPr>
      </w:pPr>
      <w:r>
        <w:rPr>
          <w:rFonts w:hint="eastAsia" w:ascii="宋体" w:hAnsi="宋体"/>
          <w:sz w:val="24"/>
        </w:rPr>
        <w:t>根据总体审计策略，制定具体审计计划，并考虑通过有效利用审计资源以实现审计目标。</w:t>
      </w:r>
    </w:p>
    <w:p w14:paraId="12B45DD6">
      <w:pPr>
        <w:spacing w:line="360" w:lineRule="auto"/>
        <w:ind w:firstLine="482" w:firstLineChars="200"/>
        <w:rPr>
          <w:rFonts w:ascii="宋体" w:hAnsi="宋体"/>
          <w:b/>
          <w:bCs/>
          <w:sz w:val="24"/>
        </w:rPr>
      </w:pPr>
      <w:r>
        <w:rPr>
          <w:rFonts w:hint="eastAsia" w:ascii="宋体" w:hAnsi="宋体"/>
          <w:b/>
          <w:bCs/>
          <w:sz w:val="24"/>
        </w:rPr>
        <w:t>（二）具体审计计划的内容</w:t>
      </w:r>
    </w:p>
    <w:p w14:paraId="1C7D1153">
      <w:pPr>
        <w:pStyle w:val="8"/>
        <w:numPr>
          <w:ilvl w:val="3"/>
          <w:numId w:val="3"/>
        </w:numPr>
        <w:spacing w:line="360" w:lineRule="auto"/>
        <w:ind w:left="0" w:firstLine="567" w:firstLineChars="0"/>
        <w:rPr>
          <w:rFonts w:ascii="宋体" w:hAnsi="宋体"/>
          <w:sz w:val="24"/>
        </w:rPr>
      </w:pPr>
      <w:r>
        <w:rPr>
          <w:rFonts w:hint="eastAsia" w:ascii="宋体" w:hAnsi="宋体"/>
          <w:sz w:val="24"/>
        </w:rPr>
        <w:t>获取充分、适当的审计证据以将审计风险降至可接受的低水平，项目组成员拟实施的审计程序的性质、时间和范围；</w:t>
      </w:r>
    </w:p>
    <w:p w14:paraId="17C7CFD9">
      <w:pPr>
        <w:pStyle w:val="8"/>
        <w:numPr>
          <w:ilvl w:val="3"/>
          <w:numId w:val="3"/>
        </w:numPr>
        <w:spacing w:line="360" w:lineRule="auto"/>
        <w:ind w:left="0" w:firstLine="567" w:firstLineChars="0"/>
        <w:rPr>
          <w:rFonts w:ascii="宋体" w:hAnsi="宋体"/>
          <w:sz w:val="24"/>
        </w:rPr>
      </w:pPr>
      <w:r>
        <w:rPr>
          <w:rFonts w:hint="eastAsia" w:ascii="宋体" w:hAnsi="宋体"/>
          <w:sz w:val="24"/>
        </w:rPr>
        <w:t>按照《中国注册会计师审计准则第1211号——重大错报风险</w:t>
      </w:r>
      <w:r>
        <w:rPr>
          <w:rFonts w:hint="eastAsia" w:ascii="宋体" w:hAnsi="宋体"/>
          <w:sz w:val="24"/>
          <w:lang w:eastAsia="zh-CN"/>
        </w:rPr>
        <w:t>的</w:t>
      </w:r>
      <w:r>
        <w:rPr>
          <w:rFonts w:hint="eastAsia" w:ascii="宋体" w:hAnsi="宋体"/>
          <w:sz w:val="24"/>
        </w:rPr>
        <w:t>识别和评估》的规定，为了足够识别和评估财务报表重大错报风险，注册会计师计划实施的风险评估程序的性质、时间和范围；</w:t>
      </w:r>
    </w:p>
    <w:p w14:paraId="2E12B27E">
      <w:pPr>
        <w:pStyle w:val="8"/>
        <w:numPr>
          <w:ilvl w:val="3"/>
          <w:numId w:val="3"/>
        </w:numPr>
        <w:spacing w:line="360" w:lineRule="auto"/>
        <w:ind w:left="0" w:firstLine="567" w:firstLineChars="0"/>
        <w:rPr>
          <w:rFonts w:ascii="宋体" w:hAnsi="宋体"/>
          <w:sz w:val="24"/>
        </w:rPr>
      </w:pPr>
      <w:r>
        <w:rPr>
          <w:rFonts w:hint="eastAsia" w:ascii="宋体" w:hAnsi="宋体"/>
          <w:sz w:val="24"/>
        </w:rPr>
        <w:t>按照《中国注册会计师审计准则第1231号——针对评估的重大错报风险采取的应对措施》的规定，针对评估的认定层次的重大错报风险，注册会计师计划实施的进一步审计程序的性质、时间和范围；</w:t>
      </w:r>
    </w:p>
    <w:p w14:paraId="60727D91">
      <w:pPr>
        <w:pStyle w:val="8"/>
        <w:numPr>
          <w:ilvl w:val="3"/>
          <w:numId w:val="3"/>
        </w:numPr>
        <w:spacing w:line="360" w:lineRule="auto"/>
        <w:ind w:left="0" w:firstLine="567" w:firstLineChars="0"/>
        <w:rPr>
          <w:rFonts w:ascii="宋体" w:hAnsi="宋体"/>
          <w:sz w:val="24"/>
        </w:rPr>
      </w:pPr>
      <w:r>
        <w:rPr>
          <w:rFonts w:hint="eastAsia" w:ascii="宋体" w:hAnsi="宋体"/>
          <w:sz w:val="24"/>
        </w:rPr>
        <w:t>根据中国注册会计师审计准则的规定，注册会计师针对业务需要实施的其他审计程序。</w:t>
      </w:r>
    </w:p>
    <w:p w14:paraId="71B023D5">
      <w:pPr>
        <w:spacing w:line="360" w:lineRule="auto"/>
        <w:ind w:firstLine="480" w:firstLineChars="200"/>
        <w:rPr>
          <w:rFonts w:ascii="宋体" w:hAnsi="宋体"/>
          <w:sz w:val="24"/>
        </w:rPr>
      </w:pPr>
      <w:r>
        <w:rPr>
          <w:rFonts w:hint="eastAsia" w:ascii="宋体" w:hAnsi="宋体"/>
          <w:sz w:val="24"/>
        </w:rPr>
        <w:t>（三）对总体审计策略、具体审计计划的内容进行审核后，在具体实施前下达至项目组全体成员。</w:t>
      </w:r>
    </w:p>
    <w:p w14:paraId="47985C84">
      <w:pPr>
        <w:spacing w:line="360" w:lineRule="auto"/>
        <w:ind w:firstLine="482" w:firstLineChars="200"/>
        <w:rPr>
          <w:b/>
          <w:bCs/>
          <w:sz w:val="24"/>
        </w:rPr>
      </w:pPr>
      <w:r>
        <w:rPr>
          <w:rFonts w:hint="eastAsia"/>
          <w:b/>
          <w:bCs/>
          <w:sz w:val="24"/>
        </w:rPr>
        <w:t>六、审计业务实施</w:t>
      </w:r>
    </w:p>
    <w:p w14:paraId="6F2E7708">
      <w:pPr>
        <w:spacing w:line="360" w:lineRule="auto"/>
        <w:ind w:firstLine="560"/>
        <w:rPr>
          <w:rFonts w:ascii="宋体" w:hAnsi="宋体"/>
          <w:sz w:val="24"/>
        </w:rPr>
      </w:pPr>
      <w:r>
        <w:rPr>
          <w:rFonts w:hint="eastAsia" w:ascii="宋体" w:hAnsi="宋体"/>
          <w:sz w:val="24"/>
        </w:rPr>
        <w:t>按照《中国注册会计师执业准则》《项目内指导、监督和复核程序》执行风险导向审计程序。财务报表审计业务中，一般按综合性方案进行，即内控测试与实质性程序相结合的方案。如果被审计单位内控预期无效且仅实施实质性程序能够提供认定层次充分、适当的审计证据的，可按实质性方案进行。不论采取哪种方案，必须保证审计程序到位，审计证据充分。</w:t>
      </w:r>
    </w:p>
    <w:p w14:paraId="27114797">
      <w:pPr>
        <w:spacing w:line="360" w:lineRule="auto"/>
        <w:ind w:firstLine="560"/>
        <w:rPr>
          <w:rFonts w:ascii="宋体" w:hAnsi="宋体"/>
          <w:b/>
          <w:bCs/>
          <w:sz w:val="24"/>
        </w:rPr>
      </w:pPr>
      <w:r>
        <w:rPr>
          <w:rFonts w:hint="eastAsia" w:ascii="宋体" w:hAnsi="宋体"/>
          <w:b/>
          <w:bCs/>
          <w:sz w:val="24"/>
        </w:rPr>
        <w:t>（一）总体要求</w:t>
      </w:r>
    </w:p>
    <w:p w14:paraId="49FECC45">
      <w:pPr>
        <w:spacing w:line="360" w:lineRule="auto"/>
        <w:ind w:firstLine="560"/>
        <w:rPr>
          <w:rFonts w:ascii="宋体" w:hAnsi="宋体"/>
          <w:sz w:val="24"/>
          <w:lang w:val="en-GB"/>
        </w:rPr>
      </w:pPr>
      <w:r>
        <w:rPr>
          <w:rFonts w:hint="eastAsia" w:ascii="宋体" w:hAnsi="宋体"/>
          <w:sz w:val="24"/>
          <w:lang w:val="en-GB"/>
        </w:rPr>
        <w:t>（</w:t>
      </w:r>
      <w:r>
        <w:rPr>
          <w:rFonts w:hint="eastAsia" w:ascii="宋体" w:hAnsi="宋体"/>
          <w:sz w:val="24"/>
        </w:rPr>
        <w:t>1</w:t>
      </w:r>
      <w:r>
        <w:rPr>
          <w:rFonts w:hint="eastAsia" w:ascii="宋体" w:hAnsi="宋体"/>
          <w:sz w:val="24"/>
          <w:lang w:val="en-GB"/>
        </w:rPr>
        <w:t>）项目组了解并履行其与所执行业务相关的责任，包括项目合伙人对项目管理和项目质量承担总体责任，充分、适当地参与项目全过程；</w:t>
      </w:r>
    </w:p>
    <w:p w14:paraId="4B407BEA">
      <w:pPr>
        <w:spacing w:line="360" w:lineRule="auto"/>
        <w:ind w:firstLine="560"/>
        <w:rPr>
          <w:rFonts w:ascii="宋体" w:hAnsi="宋体"/>
          <w:sz w:val="24"/>
          <w:lang w:val="en-GB"/>
        </w:rPr>
      </w:pPr>
      <w:r>
        <w:rPr>
          <w:rFonts w:hint="eastAsia" w:ascii="宋体" w:hAnsi="宋体"/>
          <w:sz w:val="24"/>
          <w:lang w:val="en-GB"/>
        </w:rPr>
        <w:t>（</w:t>
      </w:r>
      <w:r>
        <w:rPr>
          <w:rFonts w:hint="eastAsia" w:ascii="宋体" w:hAnsi="宋体"/>
          <w:sz w:val="24"/>
        </w:rPr>
        <w:t>2</w:t>
      </w:r>
      <w:r>
        <w:rPr>
          <w:rFonts w:hint="eastAsia" w:ascii="宋体" w:hAnsi="宋体"/>
          <w:sz w:val="24"/>
          <w:lang w:val="en-GB"/>
        </w:rPr>
        <w:t>）基于项目的性质和具体情况、向项目组分配的资源以及项目组可获得的资源，对项目组进行的指导和监督以及</w:t>
      </w:r>
      <w:r>
        <w:rPr>
          <w:rFonts w:hint="eastAsia"/>
          <w:sz w:val="24"/>
          <w:lang w:val="en-GB"/>
        </w:rPr>
        <w:t>对项目组已执行的工作进行的复核是恰当的，并且由经验较为丰富的项目组成员对经验较为缺乏的项目组成员的工作进</w:t>
      </w:r>
      <w:r>
        <w:rPr>
          <w:rFonts w:hint="eastAsia" w:ascii="宋体" w:hAnsi="宋体"/>
          <w:sz w:val="24"/>
          <w:lang w:val="en-GB"/>
        </w:rPr>
        <w:t>行指导、监督和复核；</w:t>
      </w:r>
      <w:r>
        <w:rPr>
          <w:rFonts w:hint="eastAsia" w:ascii="宋体" w:hAnsi="宋体"/>
          <w:sz w:val="24"/>
          <w:lang w:val="en-GB"/>
        </w:rPr>
        <w:tab/>
      </w:r>
      <w:r>
        <w:rPr>
          <w:rFonts w:hint="eastAsia" w:ascii="宋体" w:hAnsi="宋体"/>
          <w:sz w:val="24"/>
          <w:lang w:val="en-GB"/>
        </w:rPr>
        <w:tab/>
      </w:r>
    </w:p>
    <w:p w14:paraId="7D5AE94B">
      <w:pPr>
        <w:spacing w:line="360" w:lineRule="auto"/>
        <w:ind w:firstLine="560"/>
        <w:rPr>
          <w:rFonts w:ascii="宋体" w:hAnsi="宋体"/>
          <w:sz w:val="24"/>
          <w:lang w:val="en-GB"/>
        </w:rPr>
      </w:pPr>
      <w:r>
        <w:rPr>
          <w:rFonts w:hint="eastAsia" w:ascii="宋体" w:hAnsi="宋体"/>
          <w:sz w:val="24"/>
          <w:lang w:val="en-GB"/>
        </w:rPr>
        <w:t>（</w:t>
      </w:r>
      <w:r>
        <w:rPr>
          <w:rFonts w:hint="eastAsia" w:ascii="宋体" w:hAnsi="宋体"/>
          <w:sz w:val="24"/>
        </w:rPr>
        <w:t>3</w:t>
      </w:r>
      <w:r>
        <w:rPr>
          <w:rFonts w:hint="eastAsia" w:ascii="宋体" w:hAnsi="宋体"/>
          <w:sz w:val="24"/>
          <w:lang w:val="en-GB"/>
        </w:rPr>
        <w:t>）项目组恰当运用职业判断并保持职业怀疑；</w:t>
      </w:r>
    </w:p>
    <w:p w14:paraId="616F1DC0">
      <w:pPr>
        <w:spacing w:line="360" w:lineRule="auto"/>
        <w:ind w:firstLine="560"/>
        <w:rPr>
          <w:rFonts w:ascii="宋体" w:hAnsi="宋体"/>
          <w:sz w:val="24"/>
          <w:lang w:val="en-GB"/>
        </w:rPr>
      </w:pPr>
      <w:r>
        <w:rPr>
          <w:rFonts w:hint="eastAsia" w:ascii="宋体" w:hAnsi="宋体"/>
          <w:sz w:val="24"/>
          <w:lang w:val="en-GB"/>
        </w:rPr>
        <w:t>（</w:t>
      </w:r>
      <w:r>
        <w:rPr>
          <w:rFonts w:hint="eastAsia" w:ascii="宋体" w:hAnsi="宋体"/>
          <w:sz w:val="24"/>
        </w:rPr>
        <w:t>4</w:t>
      </w:r>
      <w:r>
        <w:rPr>
          <w:rFonts w:hint="eastAsia" w:ascii="宋体" w:hAnsi="宋体"/>
          <w:sz w:val="24"/>
          <w:lang w:val="en-GB"/>
        </w:rPr>
        <w:t>）对困难或有争议的事项已经进行咨询，并按照达成的一致意见执行；</w:t>
      </w:r>
    </w:p>
    <w:p w14:paraId="5092EC57">
      <w:pPr>
        <w:spacing w:line="360" w:lineRule="auto"/>
        <w:ind w:firstLine="560"/>
        <w:rPr>
          <w:rFonts w:ascii="宋体" w:hAnsi="宋体"/>
          <w:sz w:val="24"/>
          <w:lang w:val="en-GB"/>
        </w:rPr>
      </w:pPr>
      <w:r>
        <w:rPr>
          <w:rFonts w:hint="eastAsia" w:ascii="宋体" w:hAnsi="宋体"/>
          <w:sz w:val="24"/>
          <w:lang w:val="en-GB"/>
        </w:rPr>
        <w:t>（</w:t>
      </w:r>
      <w:r>
        <w:rPr>
          <w:rFonts w:hint="eastAsia" w:ascii="宋体" w:hAnsi="宋体"/>
          <w:sz w:val="24"/>
        </w:rPr>
        <w:t>5</w:t>
      </w:r>
      <w:r>
        <w:rPr>
          <w:rFonts w:hint="eastAsia" w:ascii="宋体" w:hAnsi="宋体"/>
          <w:sz w:val="24"/>
          <w:lang w:val="en-GB"/>
        </w:rPr>
        <w:t>）项目组内部、项目组与项目质量复核人员之间（如适用），以及项目组与事务所内负责执行质量管理体系相关活动的人员之间存在的意见分歧，能够得到事务所的关注并予以解决；</w:t>
      </w:r>
    </w:p>
    <w:p w14:paraId="7622BC19">
      <w:pPr>
        <w:spacing w:line="360" w:lineRule="auto"/>
        <w:ind w:firstLine="560"/>
        <w:rPr>
          <w:rFonts w:ascii="宋体" w:hAnsi="宋体"/>
          <w:sz w:val="24"/>
          <w:lang w:val="en-GB"/>
        </w:rPr>
      </w:pPr>
      <w:r>
        <w:rPr>
          <w:rFonts w:hint="eastAsia" w:ascii="宋体" w:hAnsi="宋体"/>
          <w:sz w:val="24"/>
          <w:lang w:val="en-GB"/>
        </w:rPr>
        <w:t>（</w:t>
      </w:r>
      <w:r>
        <w:rPr>
          <w:rFonts w:hint="eastAsia" w:ascii="宋体" w:hAnsi="宋体"/>
          <w:sz w:val="24"/>
        </w:rPr>
        <w:t>6</w:t>
      </w:r>
      <w:r>
        <w:rPr>
          <w:rFonts w:hint="eastAsia" w:ascii="宋体" w:hAnsi="宋体"/>
          <w:sz w:val="24"/>
          <w:lang w:val="en-GB"/>
        </w:rPr>
        <w:t>）业务工作底稿能够在业务报告日之后及时得到整理，并得到妥善的保存和维护，以遵守法律法规、相关职业道德要求和其他职业准则的规定，并满足事务所自身的需要。</w:t>
      </w:r>
    </w:p>
    <w:p w14:paraId="16AEEFB7">
      <w:pPr>
        <w:spacing w:line="360" w:lineRule="auto"/>
        <w:ind w:firstLine="560"/>
        <w:rPr>
          <w:rFonts w:ascii="宋体" w:hAnsi="宋体"/>
          <w:b/>
          <w:bCs/>
          <w:sz w:val="24"/>
        </w:rPr>
      </w:pPr>
      <w:bookmarkStart w:id="0" w:name="_Toc211606857"/>
      <w:bookmarkStart w:id="1" w:name="_Toc211598812"/>
      <w:r>
        <w:rPr>
          <w:rFonts w:hint="eastAsia" w:ascii="宋体" w:hAnsi="宋体"/>
          <w:b/>
          <w:bCs/>
          <w:sz w:val="24"/>
          <w:lang w:val="en-GB"/>
        </w:rPr>
        <w:t>（</w:t>
      </w:r>
      <w:r>
        <w:rPr>
          <w:rFonts w:hint="eastAsia" w:ascii="宋体" w:hAnsi="宋体"/>
          <w:b/>
          <w:bCs/>
          <w:sz w:val="24"/>
        </w:rPr>
        <w:t>二</w:t>
      </w:r>
      <w:r>
        <w:rPr>
          <w:rFonts w:hint="eastAsia" w:ascii="宋体" w:hAnsi="宋体"/>
          <w:b/>
          <w:bCs/>
          <w:sz w:val="24"/>
          <w:lang w:val="en-GB"/>
        </w:rPr>
        <w:t>）指导</w:t>
      </w:r>
      <w:bookmarkEnd w:id="0"/>
      <w:r>
        <w:rPr>
          <w:rFonts w:hint="eastAsia" w:ascii="宋体" w:hAnsi="宋体"/>
          <w:b/>
          <w:bCs/>
          <w:sz w:val="24"/>
        </w:rPr>
        <w:t>和监督</w:t>
      </w:r>
    </w:p>
    <w:p w14:paraId="0BB497C4">
      <w:pPr>
        <w:spacing w:line="360" w:lineRule="auto"/>
        <w:ind w:firstLine="560"/>
        <w:rPr>
          <w:rFonts w:ascii="宋体" w:hAnsi="宋体" w:cs="MingLiU"/>
          <w:kern w:val="0"/>
          <w:sz w:val="24"/>
        </w:rPr>
      </w:pPr>
      <w:r>
        <w:rPr>
          <w:rFonts w:hint="eastAsia" w:ascii="宋体" w:hAnsi="宋体"/>
          <w:sz w:val="24"/>
        </w:rPr>
        <w:t>1、</w:t>
      </w:r>
      <w:r>
        <w:rPr>
          <w:rFonts w:hint="eastAsia" w:ascii="宋体" w:hAnsi="宋体"/>
          <w:sz w:val="24"/>
          <w:lang w:val="en-GB"/>
        </w:rPr>
        <w:t>项目合伙人应使项目组的所有成员了解拟执行工作的目标。</w:t>
      </w:r>
      <w:r>
        <w:rPr>
          <w:rFonts w:hint="eastAsia" w:ascii="宋体" w:hAnsi="宋体" w:cs="MingLiU"/>
          <w:kern w:val="0"/>
          <w:sz w:val="24"/>
        </w:rPr>
        <w:t>项目合伙人在指导审计业务时应当告知项目组成员下列事项：</w:t>
      </w:r>
    </w:p>
    <w:p w14:paraId="61682EF3">
      <w:pPr>
        <w:spacing w:line="360" w:lineRule="auto"/>
        <w:ind w:firstLine="480" w:firstLineChars="200"/>
        <w:rPr>
          <w:rFonts w:ascii="宋体" w:hAnsi="宋体"/>
          <w:sz w:val="24"/>
        </w:rPr>
      </w:pPr>
      <w:r>
        <w:rPr>
          <w:rFonts w:hint="eastAsia" w:ascii="宋体" w:hAnsi="宋体"/>
          <w:sz w:val="24"/>
        </w:rPr>
        <w:t>（1）项目组成员各自的责任。例如，各成员在该项业务中承担的具体审计任务，拟实现的具体审计目标，拟实施的具体审计计划以及拟获取的审计证据等。</w:t>
      </w:r>
    </w:p>
    <w:p w14:paraId="709CCB12">
      <w:pPr>
        <w:spacing w:line="360" w:lineRule="auto"/>
        <w:ind w:firstLine="480" w:firstLineChars="200"/>
        <w:rPr>
          <w:rFonts w:ascii="宋体" w:hAnsi="宋体"/>
          <w:sz w:val="24"/>
        </w:rPr>
      </w:pPr>
      <w:r>
        <w:rPr>
          <w:rFonts w:hint="eastAsia" w:ascii="宋体" w:hAnsi="宋体"/>
          <w:sz w:val="24"/>
        </w:rPr>
        <w:t>（2）被审计单位的业务性质。例如，被审计单位所处行业、主要业务活动、生产业务流程等。</w:t>
      </w:r>
    </w:p>
    <w:p w14:paraId="18DDA345">
      <w:pPr>
        <w:spacing w:line="360" w:lineRule="auto"/>
        <w:ind w:firstLine="480" w:firstLineChars="200"/>
        <w:rPr>
          <w:rFonts w:ascii="宋体" w:hAnsi="宋体"/>
          <w:sz w:val="24"/>
        </w:rPr>
      </w:pPr>
      <w:r>
        <w:rPr>
          <w:rFonts w:hint="eastAsia" w:ascii="宋体" w:hAnsi="宋体"/>
          <w:sz w:val="24"/>
        </w:rPr>
        <w:t>（3）与风险相关的事项。例如，被审计单位面临的异常压力、上期审计时发现的重大问题等。</w:t>
      </w:r>
    </w:p>
    <w:p w14:paraId="0B8CE8DB">
      <w:pPr>
        <w:spacing w:line="360" w:lineRule="auto"/>
        <w:ind w:firstLine="480" w:firstLineChars="200"/>
        <w:rPr>
          <w:rFonts w:ascii="宋体" w:hAnsi="宋体"/>
          <w:sz w:val="24"/>
        </w:rPr>
      </w:pPr>
      <w:r>
        <w:rPr>
          <w:rFonts w:hint="eastAsia" w:ascii="宋体" w:hAnsi="宋体"/>
          <w:sz w:val="24"/>
        </w:rPr>
        <w:t>（4）可能出现的问题。例如，被审计单位可能遭遇重大诉讼、管理层将出现人事变动等。</w:t>
      </w:r>
    </w:p>
    <w:p w14:paraId="1E8647EA">
      <w:pPr>
        <w:spacing w:line="360" w:lineRule="auto"/>
        <w:ind w:firstLine="480" w:firstLineChars="200"/>
        <w:rPr>
          <w:rFonts w:ascii="宋体" w:hAnsi="宋体"/>
          <w:sz w:val="24"/>
        </w:rPr>
      </w:pPr>
      <w:r>
        <w:rPr>
          <w:rFonts w:hint="eastAsia" w:ascii="宋体" w:hAnsi="宋体"/>
          <w:sz w:val="24"/>
        </w:rPr>
        <w:t>（5）执行审计业务的方案。例如，计划实施审计程序的性质、时间和范围等。</w:t>
      </w:r>
    </w:p>
    <w:p w14:paraId="70C97450">
      <w:pPr>
        <w:autoSpaceDE w:val="0"/>
        <w:autoSpaceDN w:val="0"/>
        <w:adjustRightInd w:val="0"/>
        <w:spacing w:line="360" w:lineRule="auto"/>
        <w:ind w:right="13" w:firstLine="484" w:firstLineChars="202"/>
        <w:rPr>
          <w:rFonts w:ascii="宋体" w:hAnsi="宋体" w:cs="MingLiU"/>
          <w:kern w:val="0"/>
          <w:sz w:val="24"/>
        </w:rPr>
      </w:pPr>
      <w:r>
        <w:rPr>
          <w:rFonts w:hint="eastAsia" w:ascii="宋体" w:hAnsi="宋体" w:cs="MingLiU"/>
          <w:kern w:val="0"/>
          <w:sz w:val="24"/>
        </w:rPr>
        <w:t>2、项目合伙人对业务执行的监督贯穿业务执行的全过程。项目合伙人对业务的监督内容，包括：</w:t>
      </w:r>
    </w:p>
    <w:p w14:paraId="4395FA26">
      <w:pPr>
        <w:autoSpaceDE w:val="0"/>
        <w:autoSpaceDN w:val="0"/>
        <w:adjustRightInd w:val="0"/>
        <w:spacing w:line="360" w:lineRule="auto"/>
        <w:ind w:right="13" w:firstLine="484" w:firstLineChars="202"/>
        <w:rPr>
          <w:rFonts w:ascii="宋体" w:hAnsi="宋体" w:cs="MingLiU"/>
          <w:kern w:val="0"/>
          <w:sz w:val="24"/>
        </w:rPr>
      </w:pPr>
      <w:r>
        <w:rPr>
          <w:rFonts w:hint="eastAsia" w:ascii="宋体" w:hAnsi="宋体" w:cs="MingLiU"/>
          <w:kern w:val="0"/>
          <w:sz w:val="24"/>
        </w:rPr>
        <w:t>（1）追踪业务进程。项目合伙人在业务进行中适时实施必要的监督，以检查各成员是否能够顺利完成业务工作。</w:t>
      </w:r>
    </w:p>
    <w:p w14:paraId="11E903B0">
      <w:pPr>
        <w:autoSpaceDE w:val="0"/>
        <w:autoSpaceDN w:val="0"/>
        <w:adjustRightInd w:val="0"/>
        <w:spacing w:line="360" w:lineRule="auto"/>
        <w:ind w:right="13" w:firstLine="484" w:firstLineChars="202"/>
        <w:rPr>
          <w:rFonts w:ascii="宋体" w:hAnsi="宋体" w:cs="MingLiU"/>
          <w:kern w:val="0"/>
          <w:sz w:val="24"/>
        </w:rPr>
      </w:pPr>
      <w:r>
        <w:rPr>
          <w:rFonts w:hint="eastAsia" w:ascii="宋体" w:hAnsi="宋体" w:cs="MingLiU"/>
          <w:kern w:val="0"/>
          <w:sz w:val="24"/>
        </w:rPr>
        <w:t>（2）考虑项目组各成员的素质和专业胜任能力，以及是否有足够的时间执行工作，是否理解工作指令，是否按照计划的方案执行工作。项目合伙人在考虑这些事项后，决定提供进一步的指导，或在各成员之间作适当的工作调整，或要求成员采取补救措施使其执行的工作达到计划方案的要求。</w:t>
      </w:r>
    </w:p>
    <w:p w14:paraId="27D8EC07">
      <w:pPr>
        <w:autoSpaceDE w:val="0"/>
        <w:autoSpaceDN w:val="0"/>
        <w:adjustRightInd w:val="0"/>
        <w:spacing w:line="360" w:lineRule="auto"/>
        <w:ind w:right="13" w:firstLine="484" w:firstLineChars="202"/>
        <w:rPr>
          <w:rFonts w:ascii="宋体" w:hAnsi="宋体" w:cs="MingLiU"/>
          <w:kern w:val="0"/>
          <w:sz w:val="24"/>
        </w:rPr>
      </w:pPr>
      <w:r>
        <w:rPr>
          <w:rFonts w:hint="eastAsia" w:ascii="宋体" w:hAnsi="宋体" w:cs="MingLiU"/>
          <w:kern w:val="0"/>
          <w:sz w:val="24"/>
        </w:rPr>
        <w:t>（3）解决在执行业务过程中发现的重大问题，考虑其重要程度并适当修改原计划的方案。项目合伙人在了解到各成员在执行业务过程中遇到的各种难以解决的重大问题后，按照事务所质量控制制度的要求，根据具体情况，运用职业判断，确定是否需要调整工作程序以及如何调整。</w:t>
      </w:r>
    </w:p>
    <w:p w14:paraId="3CC67046">
      <w:pPr>
        <w:spacing w:line="360" w:lineRule="auto"/>
        <w:ind w:firstLine="480" w:firstLineChars="200"/>
        <w:rPr>
          <w:rFonts w:ascii="宋体" w:hAnsi="宋体"/>
          <w:b/>
          <w:sz w:val="24"/>
        </w:rPr>
      </w:pPr>
      <w:r>
        <w:rPr>
          <w:rFonts w:hint="eastAsia" w:ascii="宋体" w:hAnsi="宋体" w:cs="MingLiU"/>
          <w:kern w:val="0"/>
          <w:sz w:val="24"/>
        </w:rPr>
        <w:t>（4）识别在执行业务过程中需要咨询的事项，或需要由经验较丰富的项目组成员考虑的事项。</w:t>
      </w:r>
      <w:r>
        <w:rPr>
          <w:rFonts w:hint="eastAsia" w:ascii="宋体" w:hAnsi="宋体"/>
          <w:sz w:val="24"/>
        </w:rPr>
        <w:t>如果发现这些事项，启动咨询程序或交由经验较丰富的项目组成员考虑，使事项得到妥善解决。</w:t>
      </w:r>
    </w:p>
    <w:p w14:paraId="20550BEF">
      <w:pPr>
        <w:spacing w:line="360" w:lineRule="auto"/>
        <w:ind w:firstLine="560"/>
        <w:outlineLvl w:val="0"/>
        <w:rPr>
          <w:rFonts w:ascii="宋体" w:hAnsi="宋体"/>
          <w:b/>
          <w:sz w:val="24"/>
        </w:rPr>
      </w:pPr>
      <w:r>
        <w:rPr>
          <w:rFonts w:hint="eastAsia" w:ascii="宋体" w:hAnsi="宋体"/>
          <w:b/>
          <w:sz w:val="24"/>
        </w:rPr>
        <w:t>（三）项目组内复核</w:t>
      </w:r>
    </w:p>
    <w:p w14:paraId="4B50F7E6">
      <w:pPr>
        <w:autoSpaceDE w:val="0"/>
        <w:autoSpaceDN w:val="0"/>
        <w:adjustRightInd w:val="0"/>
        <w:snapToGrid w:val="0"/>
        <w:spacing w:line="360" w:lineRule="auto"/>
        <w:ind w:firstLine="555"/>
        <w:rPr>
          <w:rFonts w:ascii="宋体" w:hAnsi="宋体"/>
          <w:sz w:val="24"/>
        </w:rPr>
      </w:pPr>
      <w:r>
        <w:rPr>
          <w:rFonts w:hint="eastAsia" w:ascii="宋体" w:hAnsi="宋体"/>
          <w:sz w:val="24"/>
        </w:rPr>
        <w:t>业务复核依据《项目组内指导、监督和复核程序》和《项目质量复核程序》执行。</w:t>
      </w:r>
    </w:p>
    <w:p w14:paraId="02333013">
      <w:pPr>
        <w:numPr>
          <w:ilvl w:val="0"/>
          <w:numId w:val="0"/>
        </w:numPr>
        <w:autoSpaceDE w:val="0"/>
        <w:autoSpaceDN w:val="0"/>
        <w:adjustRightInd w:val="0"/>
        <w:snapToGrid w:val="0"/>
        <w:spacing w:line="360" w:lineRule="auto"/>
        <w:ind w:firstLine="555" w:firstLineChars="0"/>
        <w:outlineLvl w:val="0"/>
        <w:rPr>
          <w:rFonts w:ascii="宋体" w:hAnsi="宋体"/>
          <w:sz w:val="24"/>
        </w:rPr>
      </w:pPr>
      <w:r>
        <w:rPr>
          <w:rFonts w:ascii="宋体" w:hAnsi="宋体" w:eastAsiaTheme="minorEastAsia" w:cstheme="minorBidi"/>
          <w:kern w:val="2"/>
          <w:sz w:val="24"/>
          <w:szCs w:val="24"/>
          <w:lang w:val="en-US" w:eastAsia="zh-CN" w:bidi="ar-SA"/>
        </w:rPr>
        <w:t>1</w:t>
      </w:r>
      <w:r>
        <w:rPr>
          <w:rFonts w:hint="eastAsia" w:ascii="宋体" w:hAnsi="宋体" w:cstheme="minorBidi"/>
          <w:kern w:val="2"/>
          <w:sz w:val="24"/>
          <w:szCs w:val="24"/>
          <w:lang w:val="en-US" w:eastAsia="zh-CN" w:bidi="ar-SA"/>
        </w:rPr>
        <w:t>.</w:t>
      </w:r>
      <w:r>
        <w:rPr>
          <w:rFonts w:hint="eastAsia" w:ascii="宋体" w:hAnsi="宋体"/>
          <w:sz w:val="24"/>
        </w:rPr>
        <w:t>B、C类业务</w:t>
      </w:r>
    </w:p>
    <w:p w14:paraId="41EDBA53">
      <w:pPr>
        <w:autoSpaceDE w:val="0"/>
        <w:autoSpaceDN w:val="0"/>
        <w:adjustRightInd w:val="0"/>
        <w:snapToGrid w:val="0"/>
        <w:spacing w:line="360" w:lineRule="auto"/>
        <w:ind w:firstLine="480" w:firstLineChars="200"/>
        <w:outlineLvl w:val="0"/>
        <w:rPr>
          <w:rFonts w:ascii="宋体" w:hAnsi="宋体"/>
          <w:sz w:val="24"/>
        </w:rPr>
      </w:pPr>
      <w:r>
        <w:rPr>
          <w:rFonts w:hint="eastAsia" w:ascii="宋体" w:hAnsi="宋体"/>
          <w:sz w:val="24"/>
        </w:rPr>
        <w:t>至少完成详细复核、全面复核与重点复核三层复核程序。</w:t>
      </w:r>
    </w:p>
    <w:p w14:paraId="6C69B83F">
      <w:pPr>
        <w:autoSpaceDE w:val="0"/>
        <w:autoSpaceDN w:val="0"/>
        <w:adjustRightInd w:val="0"/>
        <w:snapToGrid w:val="0"/>
        <w:spacing w:line="360" w:lineRule="auto"/>
        <w:ind w:firstLine="555"/>
        <w:rPr>
          <w:rFonts w:ascii="宋体" w:hAnsi="宋体"/>
          <w:sz w:val="24"/>
        </w:rPr>
      </w:pPr>
      <w:r>
        <w:rPr>
          <w:rFonts w:hint="eastAsia" w:ascii="宋体" w:hAnsi="宋体"/>
          <w:sz w:val="24"/>
        </w:rPr>
        <w:t>详细复核：项目组内经验较多的人员对经验较少的人员实施审计程序形成的工作底稿逐页进行详细复核，并在底稿中签字。</w:t>
      </w:r>
    </w:p>
    <w:p w14:paraId="1ADB7918">
      <w:pPr>
        <w:autoSpaceDE w:val="0"/>
        <w:autoSpaceDN w:val="0"/>
        <w:adjustRightInd w:val="0"/>
        <w:snapToGrid w:val="0"/>
        <w:spacing w:line="360" w:lineRule="auto"/>
        <w:ind w:firstLine="555"/>
        <w:rPr>
          <w:rFonts w:ascii="宋体" w:hAnsi="宋体"/>
          <w:sz w:val="24"/>
        </w:rPr>
      </w:pPr>
      <w:r>
        <w:rPr>
          <w:rFonts w:hint="eastAsia" w:ascii="宋体" w:hAnsi="宋体"/>
          <w:sz w:val="24"/>
        </w:rPr>
        <w:t>全面复核：第二签字注册会计师（项目经理）负责项目组内全面复核，形成复核记录并签字。</w:t>
      </w:r>
    </w:p>
    <w:p w14:paraId="0AE57534">
      <w:pPr>
        <w:autoSpaceDE w:val="0"/>
        <w:autoSpaceDN w:val="0"/>
        <w:adjustRightInd w:val="0"/>
        <w:snapToGrid w:val="0"/>
        <w:spacing w:line="360" w:lineRule="auto"/>
        <w:ind w:firstLine="555"/>
        <w:rPr>
          <w:rFonts w:ascii="宋体" w:hAnsi="宋体"/>
          <w:sz w:val="24"/>
        </w:rPr>
      </w:pPr>
      <w:r>
        <w:rPr>
          <w:rFonts w:hint="eastAsia" w:ascii="宋体" w:hAnsi="宋体"/>
          <w:sz w:val="24"/>
        </w:rPr>
        <w:t>重点复核：项目合伙人负责项目组内重点复核，形成复核记录并签字。</w:t>
      </w:r>
    </w:p>
    <w:p w14:paraId="0F074170">
      <w:pPr>
        <w:autoSpaceDE w:val="0"/>
        <w:autoSpaceDN w:val="0"/>
        <w:adjustRightInd w:val="0"/>
        <w:snapToGrid w:val="0"/>
        <w:spacing w:line="360" w:lineRule="auto"/>
        <w:ind w:firstLine="555"/>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A类非上市业务</w:t>
      </w:r>
    </w:p>
    <w:p w14:paraId="16F56A25">
      <w:pPr>
        <w:autoSpaceDE w:val="0"/>
        <w:autoSpaceDN w:val="0"/>
        <w:adjustRightInd w:val="0"/>
        <w:snapToGrid w:val="0"/>
        <w:spacing w:line="360" w:lineRule="auto"/>
        <w:ind w:firstLine="555"/>
        <w:rPr>
          <w:rFonts w:ascii="宋体" w:hAnsi="宋体"/>
          <w:sz w:val="24"/>
        </w:rPr>
      </w:pPr>
      <w:r>
        <w:rPr>
          <w:rFonts w:hint="eastAsia" w:ascii="宋体" w:hAnsi="宋体"/>
          <w:sz w:val="24"/>
        </w:rPr>
        <w:t>A类非上市业务除执行项目组内的三层（至少）复核程序外，还需执行项目质量复核，项目质量复核由质量监管部合伙人委派的项目质量复核人执行，如果是分所执行的业务，应由分所质量监管人员复核并形成记录后，交总所质量监管部门复核。</w:t>
      </w:r>
    </w:p>
    <w:p w14:paraId="15314ABC">
      <w:pPr>
        <w:autoSpaceDE w:val="0"/>
        <w:autoSpaceDN w:val="0"/>
        <w:adjustRightInd w:val="0"/>
        <w:snapToGrid w:val="0"/>
        <w:spacing w:line="360" w:lineRule="auto"/>
        <w:ind w:firstLine="555"/>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A类上市业务</w:t>
      </w:r>
    </w:p>
    <w:p w14:paraId="61FBE8AE">
      <w:pPr>
        <w:autoSpaceDE w:val="0"/>
        <w:autoSpaceDN w:val="0"/>
        <w:adjustRightInd w:val="0"/>
        <w:snapToGrid w:val="0"/>
        <w:spacing w:line="360" w:lineRule="auto"/>
        <w:ind w:firstLine="555"/>
        <w:rPr>
          <w:rFonts w:ascii="宋体" w:hAnsi="宋体"/>
          <w:sz w:val="24"/>
        </w:rPr>
      </w:pPr>
      <w:r>
        <w:rPr>
          <w:rFonts w:hint="eastAsia" w:ascii="宋体" w:hAnsi="宋体"/>
          <w:sz w:val="24"/>
        </w:rPr>
        <w:t>A类上市业务除执行项目组内的三层（至少）复核程序以及质量监管部复核外，还需由风险管理与质量控制委员会委派的项目质量复核人员进行复核，项目质量复核工作应在报告日前完成。</w:t>
      </w:r>
    </w:p>
    <w:p w14:paraId="27AC347E">
      <w:pPr>
        <w:autoSpaceDE w:val="0"/>
        <w:autoSpaceDN w:val="0"/>
        <w:adjustRightInd w:val="0"/>
        <w:snapToGrid w:val="0"/>
        <w:spacing w:line="360" w:lineRule="auto"/>
        <w:ind w:firstLine="555"/>
        <w:rPr>
          <w:rFonts w:ascii="宋体" w:hAnsi="宋体"/>
          <w:b/>
          <w:bCs/>
          <w:sz w:val="24"/>
          <w:lang w:val="en-GB"/>
        </w:rPr>
      </w:pPr>
      <w:bookmarkStart w:id="2" w:name="_Toc211598813"/>
      <w:r>
        <w:rPr>
          <w:rFonts w:hint="eastAsia" w:ascii="宋体" w:hAnsi="宋体"/>
          <w:b/>
          <w:bCs/>
          <w:sz w:val="24"/>
          <w:lang w:val="en-GB"/>
        </w:rPr>
        <w:t>（</w:t>
      </w:r>
      <w:r>
        <w:rPr>
          <w:rFonts w:hint="eastAsia" w:ascii="宋体" w:hAnsi="宋体"/>
          <w:b/>
          <w:bCs/>
          <w:sz w:val="24"/>
        </w:rPr>
        <w:t>四</w:t>
      </w:r>
      <w:r>
        <w:rPr>
          <w:rFonts w:hint="eastAsia" w:ascii="宋体" w:hAnsi="宋体"/>
          <w:b/>
          <w:bCs/>
          <w:sz w:val="24"/>
          <w:lang w:val="en-GB"/>
        </w:rPr>
        <w:t>）咨询</w:t>
      </w:r>
      <w:bookmarkEnd w:id="2"/>
    </w:p>
    <w:p w14:paraId="393A5B16">
      <w:pPr>
        <w:autoSpaceDE w:val="0"/>
        <w:autoSpaceDN w:val="0"/>
        <w:adjustRightInd w:val="0"/>
        <w:snapToGrid w:val="0"/>
        <w:spacing w:line="360" w:lineRule="auto"/>
        <w:ind w:firstLine="555"/>
        <w:rPr>
          <w:rFonts w:ascii="宋体" w:hAnsi="宋体"/>
          <w:sz w:val="24"/>
        </w:rPr>
      </w:pPr>
      <w:r>
        <w:rPr>
          <w:rFonts w:hint="eastAsia" w:ascii="宋体" w:hAnsi="宋体"/>
          <w:sz w:val="24"/>
        </w:rPr>
        <w:t>项目组就组内无法解决的疑难问题或争议事项，包括重大的技术、风险判断、职业道德及其他事项等提出咨询。进行咨询前，项目组内部应对拟咨询的事项进行充分讨论。对于按照事务所《业务操作流程》的规定应进行项目质量复核的业务，项目组还应就拟咨询的事项与项目质量复核人员进行充分讨论。项目组就咨询形成记录，并在业务执行过程中落实咨询结果。</w:t>
      </w:r>
    </w:p>
    <w:p w14:paraId="17534EAC">
      <w:pPr>
        <w:autoSpaceDE w:val="0"/>
        <w:autoSpaceDN w:val="0"/>
        <w:adjustRightInd w:val="0"/>
        <w:snapToGrid w:val="0"/>
        <w:spacing w:line="360" w:lineRule="auto"/>
        <w:ind w:firstLine="555"/>
        <w:rPr>
          <w:rFonts w:ascii="宋体" w:hAnsi="宋体"/>
          <w:b/>
          <w:bCs/>
          <w:sz w:val="24"/>
        </w:rPr>
      </w:pPr>
      <w:bookmarkStart w:id="3" w:name="_Toc211598814"/>
      <w:r>
        <w:rPr>
          <w:rFonts w:hint="eastAsia" w:ascii="宋体" w:hAnsi="宋体"/>
          <w:b/>
          <w:bCs/>
          <w:sz w:val="24"/>
          <w:lang w:val="en-GB"/>
        </w:rPr>
        <w:t>（</w:t>
      </w:r>
      <w:r>
        <w:rPr>
          <w:rFonts w:hint="eastAsia" w:ascii="宋体" w:hAnsi="宋体"/>
          <w:b/>
          <w:bCs/>
          <w:sz w:val="24"/>
        </w:rPr>
        <w:t>五</w:t>
      </w:r>
      <w:r>
        <w:rPr>
          <w:rFonts w:hint="eastAsia" w:ascii="宋体" w:hAnsi="宋体"/>
          <w:b/>
          <w:bCs/>
          <w:sz w:val="24"/>
          <w:lang w:val="en-GB"/>
        </w:rPr>
        <w:t>）意见分歧</w:t>
      </w:r>
      <w:bookmarkEnd w:id="3"/>
      <w:r>
        <w:rPr>
          <w:rFonts w:hint="eastAsia" w:ascii="宋体" w:hAnsi="宋体"/>
          <w:b/>
          <w:bCs/>
          <w:sz w:val="24"/>
          <w:lang w:val="en-GB"/>
        </w:rPr>
        <w:t>的</w:t>
      </w:r>
      <w:r>
        <w:rPr>
          <w:rFonts w:hint="eastAsia" w:ascii="宋体" w:hAnsi="宋体"/>
          <w:b/>
          <w:bCs/>
          <w:sz w:val="24"/>
        </w:rPr>
        <w:t>解决</w:t>
      </w:r>
    </w:p>
    <w:p w14:paraId="43BBA7D4">
      <w:pPr>
        <w:autoSpaceDE w:val="0"/>
        <w:autoSpaceDN w:val="0"/>
        <w:adjustRightInd w:val="0"/>
        <w:snapToGrid w:val="0"/>
        <w:spacing w:line="360" w:lineRule="auto"/>
        <w:ind w:firstLine="555"/>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事务所《项目质量复核程序》《财务报表审计的质量管理制度》中对意见分歧的解决作出规定：</w:t>
      </w:r>
    </w:p>
    <w:p w14:paraId="4DCD2A61">
      <w:pPr>
        <w:autoSpaceDE w:val="0"/>
        <w:autoSpaceDN w:val="0"/>
        <w:adjustRightInd w:val="0"/>
        <w:snapToGrid w:val="0"/>
        <w:spacing w:line="360" w:lineRule="auto"/>
        <w:ind w:firstLine="555"/>
        <w:rPr>
          <w:rFonts w:ascii="宋体" w:hAnsi="宋体"/>
          <w:sz w:val="24"/>
        </w:rPr>
      </w:pPr>
      <w:r>
        <w:rPr>
          <w:rFonts w:hint="eastAsia" w:ascii="宋体" w:hAnsi="宋体"/>
          <w:sz w:val="24"/>
        </w:rPr>
        <w:t>（1）项目合伙人和项目质量复核人员（如适用）复核并评价项目组是否已就疑难问题或涉及意见分歧的事项进行适当咨询，以及咨询得出的结论是否得到执行。</w:t>
      </w:r>
    </w:p>
    <w:p w14:paraId="00DDE67C">
      <w:pPr>
        <w:autoSpaceDE w:val="0"/>
        <w:autoSpaceDN w:val="0"/>
        <w:adjustRightInd w:val="0"/>
        <w:snapToGrid w:val="0"/>
        <w:spacing w:line="360" w:lineRule="auto"/>
        <w:ind w:firstLine="555"/>
        <w:rPr>
          <w:rFonts w:ascii="宋体" w:hAnsi="宋体"/>
          <w:sz w:val="24"/>
        </w:rPr>
      </w:pPr>
      <w:r>
        <w:rPr>
          <w:rFonts w:hint="eastAsia" w:ascii="宋体" w:hAnsi="宋体"/>
          <w:sz w:val="24"/>
        </w:rPr>
        <w:t>（2）在业务工作底稿中适当记录意见分歧的解决过程和结论。如果项目质量复核人员（如适用）、项目组成员以外的其他人员参与形成业务报告中的专业意见，也应当在业务工作底稿中作出适当记录。</w:t>
      </w:r>
    </w:p>
    <w:p w14:paraId="2BD24159">
      <w:pPr>
        <w:autoSpaceDE w:val="0"/>
        <w:autoSpaceDN w:val="0"/>
        <w:adjustRightInd w:val="0"/>
        <w:snapToGrid w:val="0"/>
        <w:spacing w:line="360" w:lineRule="auto"/>
        <w:ind w:firstLine="555"/>
        <w:rPr>
          <w:rFonts w:ascii="宋体" w:hAnsi="宋体"/>
          <w:sz w:val="24"/>
        </w:rPr>
      </w:pPr>
      <w:r>
        <w:rPr>
          <w:rFonts w:hint="eastAsia" w:ascii="宋体" w:hAnsi="宋体"/>
          <w:sz w:val="24"/>
        </w:rPr>
        <w:t>（3）确保所执行的项目在意见分歧解决后才能出具业务报告。</w:t>
      </w:r>
    </w:p>
    <w:p w14:paraId="0EB9C43F">
      <w:pPr>
        <w:autoSpaceDE w:val="0"/>
        <w:autoSpaceDN w:val="0"/>
        <w:adjustRightInd w:val="0"/>
        <w:snapToGrid w:val="0"/>
        <w:spacing w:line="360" w:lineRule="auto"/>
        <w:ind w:firstLine="555"/>
        <w:rPr>
          <w:rFonts w:ascii="宋体" w:hAnsi="宋体"/>
          <w:sz w:val="24"/>
          <w:lang w:val="en-GB"/>
        </w:rPr>
      </w:pPr>
      <w:r>
        <w:rPr>
          <w:rFonts w:hint="eastAsia" w:ascii="宋体" w:hAnsi="宋体"/>
          <w:sz w:val="24"/>
        </w:rPr>
        <w:t>2</w:t>
      </w:r>
      <w:r>
        <w:rPr>
          <w:rFonts w:hint="eastAsia" w:ascii="宋体" w:hAnsi="宋体"/>
          <w:sz w:val="24"/>
          <w:lang w:eastAsia="zh-CN"/>
        </w:rPr>
        <w:t>.</w:t>
      </w:r>
      <w:r>
        <w:rPr>
          <w:rFonts w:hint="eastAsia" w:ascii="宋体" w:hAnsi="宋体"/>
          <w:sz w:val="24"/>
          <w:lang w:val="en-GB"/>
        </w:rPr>
        <w:t>事务所制定《重大会计、审计事项决定程序》，以处理和解决项目组内部、项目组与被咨询者之间以及项目合伙人与项目质量复核人员之间的意见分歧。重大事项决策程序包括将意见分歧提交风险管理与质量控制委员会讨论等。</w:t>
      </w:r>
    </w:p>
    <w:p w14:paraId="729ABEE1">
      <w:pPr>
        <w:autoSpaceDE w:val="0"/>
        <w:autoSpaceDN w:val="0"/>
        <w:adjustRightInd w:val="0"/>
        <w:snapToGrid w:val="0"/>
        <w:spacing w:line="360" w:lineRule="auto"/>
        <w:ind w:firstLine="555"/>
        <w:rPr>
          <w:rFonts w:ascii="宋体" w:hAnsi="宋体"/>
          <w:b/>
          <w:bCs/>
          <w:sz w:val="24"/>
          <w:lang w:val="en-GB"/>
        </w:rPr>
      </w:pPr>
      <w:bookmarkStart w:id="4" w:name="_Toc211598815"/>
      <w:r>
        <w:rPr>
          <w:rFonts w:hint="eastAsia" w:ascii="宋体" w:hAnsi="宋体"/>
          <w:b/>
          <w:bCs/>
          <w:sz w:val="24"/>
          <w:lang w:val="en-GB"/>
        </w:rPr>
        <w:t>（</w:t>
      </w:r>
      <w:r>
        <w:rPr>
          <w:rFonts w:hint="eastAsia" w:ascii="宋体" w:hAnsi="宋体"/>
          <w:b/>
          <w:bCs/>
          <w:sz w:val="24"/>
        </w:rPr>
        <w:t>六</w:t>
      </w:r>
      <w:r>
        <w:rPr>
          <w:rFonts w:hint="eastAsia" w:ascii="宋体" w:hAnsi="宋体"/>
          <w:b/>
          <w:bCs/>
          <w:sz w:val="24"/>
          <w:lang w:val="en-GB"/>
        </w:rPr>
        <w:t>）项目质量复核</w:t>
      </w:r>
      <w:bookmarkEnd w:id="4"/>
    </w:p>
    <w:p w14:paraId="2FC274D1">
      <w:pPr>
        <w:autoSpaceDE w:val="0"/>
        <w:autoSpaceDN w:val="0"/>
        <w:adjustRightInd w:val="0"/>
        <w:snapToGrid w:val="0"/>
        <w:spacing w:line="360" w:lineRule="auto"/>
        <w:ind w:firstLine="555"/>
        <w:rPr>
          <w:rFonts w:ascii="宋体" w:hAnsi="宋体"/>
          <w:sz w:val="24"/>
        </w:rPr>
      </w:pPr>
      <w:r>
        <w:rPr>
          <w:rFonts w:hint="eastAsia" w:ascii="宋体" w:hAnsi="宋体"/>
          <w:sz w:val="24"/>
        </w:rPr>
        <w:t>事务所制定《业务操作流程》，规定对A类业务实施项目质量复核，在报告日或报告日之前，项目质量复核人员对项目组作出的重大判断及据此得出的结论作出的客观评价。</w:t>
      </w:r>
    </w:p>
    <w:p w14:paraId="50660444">
      <w:pPr>
        <w:autoSpaceDE w:val="0"/>
        <w:autoSpaceDN w:val="0"/>
        <w:adjustRightInd w:val="0"/>
        <w:snapToGrid w:val="0"/>
        <w:spacing w:line="360" w:lineRule="auto"/>
        <w:ind w:firstLine="555"/>
        <w:rPr>
          <w:sz w:val="24"/>
        </w:rPr>
      </w:pPr>
      <w:r>
        <w:rPr>
          <w:rFonts w:hint="eastAsia" w:ascii="宋体" w:hAnsi="宋体"/>
          <w:sz w:val="24"/>
        </w:rPr>
        <w:t>事务所制定《项目质量复核程序》，对项目质量复核人员的委派、资质要求、项目质量复核的实施、形成项目质量复核工作底稿等作出具体规定。</w:t>
      </w:r>
      <w:bookmarkEnd w:id="1"/>
    </w:p>
    <w:p w14:paraId="684898F2">
      <w:pPr>
        <w:numPr>
          <w:ilvl w:val="0"/>
          <w:numId w:val="4"/>
        </w:numPr>
        <w:spacing w:line="360" w:lineRule="auto"/>
        <w:ind w:firstLine="482" w:firstLineChars="200"/>
        <w:rPr>
          <w:b/>
          <w:bCs/>
          <w:sz w:val="24"/>
        </w:rPr>
      </w:pPr>
      <w:r>
        <w:rPr>
          <w:rFonts w:hint="eastAsia"/>
          <w:b/>
          <w:bCs/>
          <w:sz w:val="24"/>
        </w:rPr>
        <w:t>报告出具</w:t>
      </w:r>
    </w:p>
    <w:p w14:paraId="27F19F79">
      <w:pPr>
        <w:spacing w:line="360" w:lineRule="auto"/>
        <w:rPr>
          <w:sz w:val="24"/>
        </w:rPr>
      </w:pPr>
      <w:r>
        <w:rPr>
          <w:rFonts w:hint="eastAsia"/>
          <w:b/>
          <w:bCs/>
          <w:sz w:val="24"/>
        </w:rPr>
        <w:t xml:space="preserve">   </w:t>
      </w:r>
      <w:r>
        <w:rPr>
          <w:rFonts w:hint="eastAsia"/>
          <w:sz w:val="24"/>
        </w:rPr>
        <w:t>业务报告的出具履行所内业务报告审核签发流程。事务所的《业务操作流程》中，对业务报告的签发统一作出了规定：A类上市业务报告签发人为首席合伙人，A类非上市业务报告签发人为管理合伙人，B类业务报告签发人为管理合伙人，C类业务报告签发人为主管合伙人。要求项目工作已做完，所有需复核的均已复核完毕，复核人均已在项目复核表签字并已编写复核记录，所有需解决的重大会计、审计问题已解决，并且不存在意见分歧，方可签发报告。</w:t>
      </w:r>
    </w:p>
    <w:p w14:paraId="61D139E5">
      <w:pPr>
        <w:spacing w:line="360" w:lineRule="auto"/>
        <w:ind w:firstLine="480" w:firstLineChars="200"/>
        <w:jc w:val="left"/>
        <w:rPr>
          <w:sz w:val="24"/>
        </w:rPr>
      </w:pPr>
      <w:r>
        <w:rPr>
          <w:rFonts w:hint="eastAsia" w:ascii="宋体" w:hAnsi="宋体" w:cs="Arial"/>
          <w:bCs/>
          <w:sz w:val="24"/>
        </w:rPr>
        <w:t>事务所制定了《印章管理制度》，</w:t>
      </w:r>
      <w:r>
        <w:rPr>
          <w:rFonts w:hint="eastAsia"/>
          <w:sz w:val="24"/>
        </w:rPr>
        <w:t>委派专门人员对报告的签章进行严格管理，加强对业务报告签发过程的控制。</w:t>
      </w:r>
    </w:p>
    <w:p w14:paraId="17153C41">
      <w:pPr>
        <w:spacing w:line="360" w:lineRule="auto"/>
        <w:ind w:firstLine="480" w:firstLineChars="200"/>
        <w:jc w:val="left"/>
        <w:rPr>
          <w:rFonts w:hint="eastAsia"/>
          <w:sz w:val="24"/>
        </w:rPr>
      </w:pPr>
    </w:p>
    <w:p w14:paraId="5E0DF28D">
      <w:pPr>
        <w:spacing w:line="360" w:lineRule="auto"/>
        <w:ind w:firstLine="480" w:firstLineChars="200"/>
        <w:jc w:val="left"/>
        <w:rPr>
          <w:sz w:val="24"/>
        </w:rPr>
      </w:pPr>
    </w:p>
    <w:p w14:paraId="36006308">
      <w:pPr>
        <w:spacing w:line="360" w:lineRule="auto"/>
        <w:ind w:firstLine="480" w:firstLineChars="200"/>
        <w:jc w:val="right"/>
        <w:rPr>
          <w:sz w:val="24"/>
        </w:rPr>
      </w:pPr>
      <w:r>
        <w:rPr>
          <w:rFonts w:hint="eastAsia"/>
          <w:sz w:val="24"/>
        </w:rPr>
        <w:t>中兴财光华会计师事务所（特殊普通合伙）</w:t>
      </w:r>
    </w:p>
    <w:p w14:paraId="7EB2C505">
      <w:pPr>
        <w:spacing w:line="360" w:lineRule="auto"/>
        <w:ind w:firstLine="5280" w:firstLineChars="2200"/>
        <w:jc w:val="left"/>
        <w:rPr>
          <w:rFonts w:hint="eastAsia"/>
          <w:sz w:val="24"/>
        </w:rPr>
      </w:pPr>
      <w:r>
        <w:rPr>
          <w:rFonts w:hint="eastAsia"/>
          <w:sz w:val="24"/>
        </w:rPr>
        <w:t>2</w:t>
      </w:r>
      <w:r>
        <w:rPr>
          <w:sz w:val="24"/>
        </w:rPr>
        <w:t>02</w:t>
      </w:r>
      <w:r>
        <w:rPr>
          <w:rFonts w:hint="eastAsia"/>
          <w:sz w:val="24"/>
          <w:lang w:val="en-US" w:eastAsia="zh-CN"/>
        </w:rPr>
        <w:t>5</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27</w:t>
      </w:r>
      <w:r>
        <w:rPr>
          <w:rFonts w:hint="eastAsia"/>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07B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94EDE">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6794EDE">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1199C"/>
    <w:multiLevelType w:val="singleLevel"/>
    <w:tmpl w:val="C321199C"/>
    <w:lvl w:ilvl="0" w:tentative="0">
      <w:start w:val="4"/>
      <w:numFmt w:val="decimal"/>
      <w:lvlText w:val="%1."/>
      <w:lvlJc w:val="left"/>
      <w:pPr>
        <w:tabs>
          <w:tab w:val="left" w:pos="312"/>
        </w:tabs>
      </w:pPr>
    </w:lvl>
  </w:abstractNum>
  <w:abstractNum w:abstractNumId="1">
    <w:nsid w:val="186C19E2"/>
    <w:multiLevelType w:val="multilevel"/>
    <w:tmpl w:val="186C19E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BDE867A"/>
    <w:multiLevelType w:val="singleLevel"/>
    <w:tmpl w:val="3BDE867A"/>
    <w:lvl w:ilvl="0" w:tentative="0">
      <w:start w:val="7"/>
      <w:numFmt w:val="chineseCounting"/>
      <w:suff w:val="nothing"/>
      <w:lvlText w:val="%1、"/>
      <w:lvlJc w:val="left"/>
      <w:rPr>
        <w:rFonts w:hint="eastAsia"/>
      </w:rPr>
    </w:lvl>
  </w:abstractNum>
  <w:abstractNum w:abstractNumId="3">
    <w:nsid w:val="590A2D3F"/>
    <w:multiLevelType w:val="multilevel"/>
    <w:tmpl w:val="590A2D3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Nzg4YTdkM2E3N2U0NjQ4MWQ2NDY4MzIxZmQwNTMifQ=="/>
  </w:docVars>
  <w:rsids>
    <w:rsidRoot w:val="78E027DE"/>
    <w:rsid w:val="000C5684"/>
    <w:rsid w:val="003B4692"/>
    <w:rsid w:val="00456050"/>
    <w:rsid w:val="00577FB2"/>
    <w:rsid w:val="00603F5E"/>
    <w:rsid w:val="00944F85"/>
    <w:rsid w:val="00964F2B"/>
    <w:rsid w:val="00BA285D"/>
    <w:rsid w:val="00BD5396"/>
    <w:rsid w:val="00E54BFC"/>
    <w:rsid w:val="00E63EC8"/>
    <w:rsid w:val="05E35718"/>
    <w:rsid w:val="0B114967"/>
    <w:rsid w:val="0B4A3EDE"/>
    <w:rsid w:val="109A622B"/>
    <w:rsid w:val="18E84F59"/>
    <w:rsid w:val="1922647D"/>
    <w:rsid w:val="19B4308D"/>
    <w:rsid w:val="2409559E"/>
    <w:rsid w:val="24AB6D7F"/>
    <w:rsid w:val="29CB1FF6"/>
    <w:rsid w:val="2AA0759A"/>
    <w:rsid w:val="36677CA8"/>
    <w:rsid w:val="38704B50"/>
    <w:rsid w:val="3A824DB6"/>
    <w:rsid w:val="3BCA3823"/>
    <w:rsid w:val="3FA163F2"/>
    <w:rsid w:val="460E21E2"/>
    <w:rsid w:val="485E2483"/>
    <w:rsid w:val="4FF2671E"/>
    <w:rsid w:val="5207117A"/>
    <w:rsid w:val="582726A1"/>
    <w:rsid w:val="58DC596F"/>
    <w:rsid w:val="5CBB5C8B"/>
    <w:rsid w:val="62063929"/>
    <w:rsid w:val="6AAB3148"/>
    <w:rsid w:val="6BE558C2"/>
    <w:rsid w:val="6CE16E6B"/>
    <w:rsid w:val="6FCE7B7A"/>
    <w:rsid w:val="71EB1615"/>
    <w:rsid w:val="740F20FC"/>
    <w:rsid w:val="748466BA"/>
    <w:rsid w:val="77640A6E"/>
    <w:rsid w:val="777A2D6B"/>
    <w:rsid w:val="78E027DE"/>
    <w:rsid w:val="7AF6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60" w:firstLine="559"/>
    </w:pPr>
    <w:rPr>
      <w:rFonts w:ascii="宋体" w:hAnsi="宋体" w:cs="宋体"/>
      <w:sz w:val="28"/>
      <w:szCs w:val="28"/>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8616</Words>
  <Characters>8727</Characters>
  <Lines>64</Lines>
  <Paragraphs>18</Paragraphs>
  <TotalTime>4</TotalTime>
  <ScaleCrop>false</ScaleCrop>
  <LinksUpToDate>false</LinksUpToDate>
  <CharactersWithSpaces>8736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2023-07-25T01:16:00Z</dcterms:created>
  <dc:creator>ZG</dc:creator>
  <cp:lastModifiedBy>ZG</cp:lastModifiedBy>
  <cp:lastPrinted>2023-07-26T03:53:00Z</cp:lastPrinted>
  <dcterms:modified xsi:type="dcterms:W3CDTF">2025-05-27T07:22:21Z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3D8890422AE84C0C89289B7849080706_13</vt:lpwstr>
  </property>
  <property fmtid="{D5CDD505-2E9C-101B-9397-08002B2CF9AE}" pid="4" name="KSOTemplateDocerSaveRecord">
    <vt:lpwstr>eyJoZGlkIjoiODg0Nzg4YTdkM2E3N2U0NjQ4MWQ2NDY4MzIxZmQwNTMiLCJ1c2VySWQiOiIzNTA2MDkzMzMifQ==</vt:lpwstr>
  </property>
</Properties>
</file>